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DB6A4" w14:textId="4456BA2B" w:rsidR="0082708E" w:rsidRDefault="001D756B">
      <w:pPr>
        <w:tabs>
          <w:tab w:val="right" w:pos="9400"/>
        </w:tabs>
        <w:spacing w:after="0" w:line="260" w:lineRule="auto"/>
        <w:ind w:left="1990" w:hanging="1990"/>
        <w:rPr>
          <w:rFonts w:ascii="Arial" w:eastAsia="Arial" w:hAnsi="Arial" w:cs="Arial"/>
          <w:b/>
          <w:sz w:val="24"/>
          <w:szCs w:val="24"/>
        </w:rPr>
      </w:pPr>
      <w:r>
        <w:rPr>
          <w:rFonts w:ascii="Arial" w:eastAsia="Arial" w:hAnsi="Arial" w:cs="Arial"/>
          <w:b/>
          <w:sz w:val="24"/>
          <w:szCs w:val="24"/>
        </w:rPr>
        <w:t>3GPP TSG RAN Meeting #9</w:t>
      </w:r>
      <w:r w:rsidR="00D42F11">
        <w:rPr>
          <w:rFonts w:ascii="Arial" w:eastAsia="Arial" w:hAnsi="Arial" w:cs="Arial"/>
          <w:b/>
          <w:sz w:val="24"/>
          <w:szCs w:val="24"/>
        </w:rPr>
        <w:t>6</w:t>
      </w:r>
      <w:r>
        <w:rPr>
          <w:rFonts w:ascii="Arial" w:eastAsia="Arial" w:hAnsi="Arial" w:cs="Arial"/>
          <w:b/>
          <w:sz w:val="24"/>
          <w:szCs w:val="24"/>
        </w:rPr>
        <w:tab/>
      </w:r>
      <w:r w:rsidR="00066424" w:rsidRPr="00066424">
        <w:rPr>
          <w:rFonts w:ascii="Arial" w:eastAsia="Arial" w:hAnsi="Arial" w:cs="Arial"/>
          <w:b/>
          <w:sz w:val="24"/>
          <w:szCs w:val="24"/>
        </w:rPr>
        <w:t>RP-</w:t>
      </w:r>
      <w:r w:rsidR="001625C6" w:rsidRPr="001625C6">
        <w:rPr>
          <w:rFonts w:ascii="Arial" w:eastAsia="Arial" w:hAnsi="Arial" w:cs="Arial"/>
          <w:b/>
          <w:sz w:val="24"/>
          <w:szCs w:val="24"/>
        </w:rPr>
        <w:t>221341</w:t>
      </w:r>
    </w:p>
    <w:p w14:paraId="13C46C7A" w14:textId="2336BAA1" w:rsidR="0082708E" w:rsidRDefault="00D42F11">
      <w:pPr>
        <w:spacing w:after="0"/>
        <w:ind w:left="1988" w:hanging="1988"/>
        <w:rPr>
          <w:rFonts w:ascii="Arial" w:eastAsia="Arial" w:hAnsi="Arial" w:cs="Arial"/>
          <w:b/>
          <w:sz w:val="24"/>
          <w:szCs w:val="24"/>
        </w:rPr>
      </w:pPr>
      <w:r>
        <w:rPr>
          <w:rFonts w:ascii="Arial" w:eastAsia="Arial" w:hAnsi="Arial" w:cs="Arial"/>
          <w:b/>
          <w:sz w:val="24"/>
          <w:szCs w:val="24"/>
        </w:rPr>
        <w:t>Budapest, Hungary</w:t>
      </w:r>
      <w:r w:rsidR="001D756B">
        <w:rPr>
          <w:rFonts w:ascii="Arial" w:eastAsia="Arial" w:hAnsi="Arial" w:cs="Arial"/>
          <w:b/>
          <w:sz w:val="24"/>
          <w:szCs w:val="24"/>
        </w:rPr>
        <w:t xml:space="preserve">, </w:t>
      </w:r>
      <w:r>
        <w:rPr>
          <w:rFonts w:ascii="Arial" w:eastAsia="Arial" w:hAnsi="Arial" w:cs="Arial"/>
          <w:b/>
          <w:sz w:val="24"/>
          <w:szCs w:val="24"/>
        </w:rPr>
        <w:t>June</w:t>
      </w:r>
      <w:r w:rsidR="001D756B">
        <w:rPr>
          <w:rFonts w:ascii="Arial" w:eastAsia="Arial" w:hAnsi="Arial" w:cs="Arial"/>
          <w:b/>
          <w:sz w:val="24"/>
          <w:szCs w:val="24"/>
        </w:rPr>
        <w:t xml:space="preserve"> </w:t>
      </w:r>
      <w:r>
        <w:rPr>
          <w:rFonts w:ascii="Arial" w:eastAsia="Arial" w:hAnsi="Arial" w:cs="Arial"/>
          <w:b/>
          <w:sz w:val="24"/>
          <w:szCs w:val="24"/>
        </w:rPr>
        <w:t>6</w:t>
      </w:r>
      <w:r w:rsidR="001D756B">
        <w:rPr>
          <w:rFonts w:ascii="Arial" w:eastAsia="Arial" w:hAnsi="Arial" w:cs="Arial"/>
          <w:b/>
          <w:sz w:val="24"/>
          <w:szCs w:val="24"/>
        </w:rPr>
        <w:t xml:space="preserve"> – </w:t>
      </w:r>
      <w:r>
        <w:rPr>
          <w:rFonts w:ascii="Arial" w:eastAsia="Arial" w:hAnsi="Arial" w:cs="Arial"/>
          <w:b/>
          <w:sz w:val="24"/>
          <w:szCs w:val="24"/>
        </w:rPr>
        <w:t>9</w:t>
      </w:r>
      <w:r w:rsidR="001D756B">
        <w:rPr>
          <w:rFonts w:ascii="Arial" w:eastAsia="Arial" w:hAnsi="Arial" w:cs="Arial"/>
          <w:b/>
          <w:sz w:val="24"/>
          <w:szCs w:val="24"/>
        </w:rPr>
        <w:t>, 2022</w:t>
      </w:r>
    </w:p>
    <w:p w14:paraId="71822EF4" w14:textId="77777777" w:rsidR="0082708E" w:rsidRDefault="0082708E">
      <w:pPr>
        <w:spacing w:after="0"/>
        <w:rPr>
          <w:rFonts w:ascii="Arial" w:eastAsia="Arial" w:hAnsi="Arial" w:cs="Arial"/>
          <w:b/>
          <w:sz w:val="24"/>
          <w:szCs w:val="24"/>
        </w:rPr>
      </w:pPr>
    </w:p>
    <w:p w14:paraId="2A502E0B" w14:textId="38ED27EC" w:rsidR="0082708E" w:rsidRDefault="001D756B">
      <w:pPr>
        <w:spacing w:after="0"/>
        <w:ind w:left="1988" w:hanging="1988"/>
        <w:rPr>
          <w:rFonts w:ascii="Arial" w:eastAsia="Arial" w:hAnsi="Arial" w:cs="Arial"/>
          <w:b/>
          <w:sz w:val="24"/>
          <w:szCs w:val="24"/>
        </w:rPr>
      </w:pPr>
      <w:r>
        <w:rPr>
          <w:rFonts w:ascii="Arial" w:eastAsia="Arial" w:hAnsi="Arial" w:cs="Arial"/>
          <w:b/>
          <w:sz w:val="24"/>
          <w:szCs w:val="24"/>
        </w:rPr>
        <w:t xml:space="preserve">Source: </w:t>
      </w:r>
      <w:r>
        <w:rPr>
          <w:rFonts w:ascii="Arial" w:eastAsia="Arial" w:hAnsi="Arial" w:cs="Arial"/>
          <w:b/>
          <w:sz w:val="24"/>
          <w:szCs w:val="24"/>
        </w:rPr>
        <w:tab/>
        <w:t>Meta</w:t>
      </w:r>
    </w:p>
    <w:p w14:paraId="610328F2" w14:textId="076374AA" w:rsidR="0082708E" w:rsidRDefault="001D756B">
      <w:pPr>
        <w:spacing w:after="0"/>
        <w:ind w:left="1988" w:hanging="1988"/>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t>Coverage Enhancement for in Rel-18</w:t>
      </w:r>
    </w:p>
    <w:p w14:paraId="5146BAA8" w14:textId="77777777" w:rsidR="0082708E" w:rsidRDefault="001D756B">
      <w:pPr>
        <w:spacing w:after="0"/>
        <w:ind w:left="1988" w:hanging="1988"/>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r>
      <w:r w:rsidRPr="00066424">
        <w:rPr>
          <w:rFonts w:ascii="Arial" w:eastAsia="Arial" w:hAnsi="Arial" w:cs="Arial"/>
          <w:b/>
          <w:sz w:val="24"/>
          <w:szCs w:val="24"/>
        </w:rPr>
        <w:t>9.3.1.3</w:t>
      </w:r>
    </w:p>
    <w:p w14:paraId="2173AAB5" w14:textId="77777777" w:rsidR="0082708E" w:rsidRDefault="001D756B">
      <w:pPr>
        <w:widowControl w:val="0"/>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t>Document for:   Discussion/Decision</w:t>
      </w:r>
    </w:p>
    <w:p w14:paraId="6D6895E7" w14:textId="77777777" w:rsidR="0082708E" w:rsidRDefault="001D756B">
      <w:pPr>
        <w:pStyle w:val="Heading1"/>
        <w:pBdr>
          <w:top w:val="single" w:sz="12" w:space="2" w:color="000000"/>
        </w:pBdr>
        <w:spacing w:before="120"/>
      </w:pPr>
      <w:r>
        <w:t>Introduction</w:t>
      </w:r>
    </w:p>
    <w:p w14:paraId="604BA8F1" w14:textId="55DBB75C" w:rsidR="0082708E" w:rsidRDefault="001D756B">
      <w:pPr>
        <w:spacing w:before="120"/>
        <w:rPr>
          <w:sz w:val="16"/>
          <w:szCs w:val="16"/>
          <w:highlight w:val="yellow"/>
        </w:rPr>
      </w:pPr>
      <w:r>
        <w:t xml:space="preserve">Several aspects of coverage enhancement have been studied in Rel-17, where the study [1] mainly focused on identifying scenarios, services, baseline coverage performance, and their potential solutions for VoIP and eMBB. In consequence, the work item [2] was approved, where the key objectives are to specify enhancements for PUSCH, PUCCH, and to also specify mechanism(s) to support Type A PUSCH repetitions for Msg3. Due to the limited scopes in Rel-17, the new work item on further enhancements on NR coverage in Rel-18 was proposed and approved [3], where it aims to specify PRACH enhancements and to study power domain enhancements including enhancements to increase UE power limit for CA and DC, and enhancements to reduce MPR/PAR. However, </w:t>
      </w:r>
      <w:r w:rsidR="003A7A69">
        <w:t xml:space="preserve">the repetition-based enhancement scheme reduces spectral efficiency, and </w:t>
      </w:r>
      <w:r>
        <w:t>the study and work so far have been more focused on eMBB applications. Since wearable devices with reduced capabilities, which are both power and space limited devices, are getting popular in the near future, it is critical to have solutions for the business as well as for satisfactory user experiences.</w:t>
      </w:r>
    </w:p>
    <w:p w14:paraId="519D004A" w14:textId="77777777" w:rsidR="0082708E" w:rsidRDefault="0082708E">
      <w:pPr>
        <w:spacing w:before="120"/>
      </w:pPr>
    </w:p>
    <w:p w14:paraId="0F20EF74" w14:textId="77777777" w:rsidR="0082708E" w:rsidRDefault="001D756B">
      <w:pPr>
        <w:pStyle w:val="Heading1"/>
        <w:spacing w:before="120"/>
      </w:pPr>
      <w:r>
        <w:t>Discussion</w:t>
      </w:r>
    </w:p>
    <w:p w14:paraId="7D8EDD13" w14:textId="77777777" w:rsidR="0082708E" w:rsidRDefault="001D756B">
      <w:pPr>
        <w:spacing w:after="240"/>
      </w:pPr>
      <w:r>
        <w:t xml:space="preserve">Wearable technology market size is expected to expand at a compound annual growth rate (CAGR) of 13.8% from 2021 to 2028 [7]. The rising popularity of connected devices and the Internet of Things (IoT), and the rapid growth of the technologically literate population globally are anticipated to fuel the demand for wearable technology over the forecasted timeframe. 3GPP introduced reduced capability NR UE devices in Rel-17 mainly for wearable devices so that 5G NR technology can be used in everyday life. </w:t>
      </w:r>
    </w:p>
    <w:p w14:paraId="6CC41AFC" w14:textId="7FD39E2D" w:rsidR="0082708E" w:rsidRDefault="003A7A69">
      <w:pPr>
        <w:spacing w:after="240"/>
      </w:pPr>
      <w:r>
        <w:t xml:space="preserve">HB (High Band) and </w:t>
      </w:r>
      <w:r w:rsidR="001D756B">
        <w:t xml:space="preserve">UHB (Ultra-High Band) support of 5G </w:t>
      </w:r>
      <w:r>
        <w:t xml:space="preserve">are </w:t>
      </w:r>
      <w:r w:rsidR="001D756B">
        <w:t xml:space="preserve">crucial for increasing the 5G FR1 capacity. Large swaths of spectrum </w:t>
      </w:r>
      <w:r>
        <w:t xml:space="preserve">are </w:t>
      </w:r>
      <w:r w:rsidR="001D756B">
        <w:t xml:space="preserve">available in </w:t>
      </w:r>
      <w:r>
        <w:t xml:space="preserve">2.4 GHz and </w:t>
      </w:r>
      <w:r w:rsidR="001D756B">
        <w:t xml:space="preserve">3.3 - 5 GHz. </w:t>
      </w:r>
      <w:r w:rsidR="002525FD">
        <w:t>Also,</w:t>
      </w:r>
      <w:r w:rsidR="001D756B">
        <w:t xml:space="preserve"> massive MIMO deployment is feasible to boost throughputs. Additionally, US operators recently acquired US C-band to strengthen the sub-6GHz roadmap. While </w:t>
      </w:r>
      <w:r w:rsidR="004604DE">
        <w:t>HB</w:t>
      </w:r>
      <w:r w:rsidR="00E83B75">
        <w:t>/</w:t>
      </w:r>
      <w:r w:rsidR="001D756B">
        <w:t xml:space="preserve">UHB will bring enhanced user experiences which eventually would lead better business profits opportunities for operators, there are some challenges </w:t>
      </w:r>
      <w:r w:rsidR="004604DE">
        <w:t xml:space="preserve">to support sufficient coverage not only in eMBB but also in wearable devices. </w:t>
      </w:r>
      <w:r w:rsidR="00FF1A4A">
        <w:t xml:space="preserve">The coverage issue is more critical in wearable devices with RedCap because </w:t>
      </w:r>
      <w:r w:rsidR="001D756B">
        <w:t xml:space="preserve">wearable devices, by nature, are intended for head-worn, body-worn, or wrist-worn, etc. </w:t>
      </w:r>
      <w:r w:rsidR="00FF1A4A">
        <w:t xml:space="preserve">Thus, </w:t>
      </w:r>
      <w:r w:rsidR="001D756B">
        <w:t>they have many implementation challenges and some of them critically impact on performances.</w:t>
      </w:r>
    </w:p>
    <w:p w14:paraId="3A4C23C4" w14:textId="77777777" w:rsidR="0082708E" w:rsidRDefault="0082708E">
      <w:pPr>
        <w:spacing w:after="240"/>
      </w:pPr>
    </w:p>
    <w:p w14:paraId="1604F78A" w14:textId="10319A12" w:rsidR="0082708E" w:rsidRDefault="001D756B">
      <w:pPr>
        <w:spacing w:after="240"/>
        <w:rPr>
          <w:b/>
        </w:rPr>
      </w:pPr>
      <w:r>
        <w:rPr>
          <w:b/>
        </w:rPr>
        <w:t xml:space="preserve">Expected coverage gap in FR1 </w:t>
      </w:r>
    </w:p>
    <w:p w14:paraId="57991ABC" w14:textId="291899AB" w:rsidR="0082708E" w:rsidRDefault="001D756B">
      <w:pPr>
        <w:spacing w:after="240"/>
      </w:pPr>
      <w:r>
        <w:t>Since coverage is typically limited by UL, we compare the UL coverage of UHB with LB</w:t>
      </w:r>
      <w:r w:rsidR="00FF1A4A">
        <w:t xml:space="preserve">. </w:t>
      </w:r>
      <w:r w:rsidR="00CC2C4D">
        <w:t xml:space="preserve">In this analysis, we assumed a RedCap UE but the same </w:t>
      </w:r>
      <w:r w:rsidR="00E83B75">
        <w:t>problem</w:t>
      </w:r>
      <w:r w:rsidR="00CC2C4D">
        <w:t xml:space="preserve"> applies to eMBB devices as well. </w:t>
      </w:r>
      <w:r>
        <w:t xml:space="preserve">Owing to higher frequency, UHB has significantly higher pathloss / penetration loss relative to low bands. Even though, channel bandwidth of </w:t>
      </w:r>
      <w:r w:rsidR="00CC2C4D">
        <w:t>HB/</w:t>
      </w:r>
      <w:r>
        <w:t>UHB can be larger (</w:t>
      </w:r>
      <w:r w:rsidR="002525FD">
        <w:t>e.g.,</w:t>
      </w:r>
      <w:r>
        <w:t xml:space="preserve"> 100MHz) compared to </w:t>
      </w:r>
      <w:r w:rsidR="004604DE">
        <w:t xml:space="preserve">a </w:t>
      </w:r>
      <w:r>
        <w:t>low</w:t>
      </w:r>
      <w:r w:rsidR="00CC2C4D">
        <w:t xml:space="preserve"> </w:t>
      </w:r>
      <w:r>
        <w:t xml:space="preserve">band, but the channel bandwidth support of RedCap devices is limited by their capability, thus effective BW available for UL is limited by its capability and DL:UL ratio of the band. UHB deployment is expected to be TDD where the DL to UL ratio is skewed heavily in favor of DL. These effects combined together result in a large difference in UL coverage for UL (especially UL data channel to achieve a desired data-rate). </w:t>
      </w:r>
      <w:r>
        <w:lastRenderedPageBreak/>
        <w:t>Table 1 shows detailed UL coverage difference analysis with assumptions for 700 MHz and 4 GHz frequency ranges, based on default 3GPP assumptions [6].</w:t>
      </w:r>
    </w:p>
    <w:p w14:paraId="27A38194" w14:textId="77777777" w:rsidR="0082708E" w:rsidRDefault="001D756B">
      <w:pPr>
        <w:spacing w:after="240"/>
        <w:jc w:val="center"/>
        <w:rPr>
          <w:b/>
        </w:rPr>
      </w:pPr>
      <w:r>
        <w:rPr>
          <w:b/>
        </w:rPr>
        <w:t>Table 1. UL data-channel coverage difference between 700MHz and 4GHz</w:t>
      </w:r>
    </w:p>
    <w:tbl>
      <w:tblPr>
        <w:tblStyle w:val="a1"/>
        <w:tblW w:w="93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59"/>
        <w:gridCol w:w="2112"/>
        <w:gridCol w:w="2042"/>
        <w:gridCol w:w="2042"/>
      </w:tblGrid>
      <w:tr w:rsidR="0082708E" w14:paraId="490ACF9E" w14:textId="77777777">
        <w:tc>
          <w:tcPr>
            <w:tcW w:w="3157" w:type="dxa"/>
            <w:shd w:val="clear" w:color="auto" w:fill="auto"/>
            <w:tcMar>
              <w:top w:w="100" w:type="dxa"/>
              <w:left w:w="100" w:type="dxa"/>
              <w:bottom w:w="100" w:type="dxa"/>
              <w:right w:w="100" w:type="dxa"/>
            </w:tcMar>
          </w:tcPr>
          <w:p w14:paraId="46AED817" w14:textId="77777777" w:rsidR="0082708E" w:rsidRDefault="0082708E">
            <w:pPr>
              <w:widowControl w:val="0"/>
              <w:pBdr>
                <w:top w:val="nil"/>
                <w:left w:val="nil"/>
                <w:bottom w:val="nil"/>
                <w:right w:val="nil"/>
                <w:between w:val="nil"/>
              </w:pBdr>
              <w:spacing w:after="0" w:line="240" w:lineRule="auto"/>
              <w:jc w:val="center"/>
              <w:rPr>
                <w:b/>
              </w:rPr>
            </w:pPr>
          </w:p>
        </w:tc>
        <w:tc>
          <w:tcPr>
            <w:tcW w:w="2112" w:type="dxa"/>
            <w:shd w:val="clear" w:color="auto" w:fill="auto"/>
            <w:tcMar>
              <w:top w:w="100" w:type="dxa"/>
              <w:left w:w="100" w:type="dxa"/>
              <w:bottom w:w="100" w:type="dxa"/>
              <w:right w:w="100" w:type="dxa"/>
            </w:tcMar>
          </w:tcPr>
          <w:p w14:paraId="3CA4D594" w14:textId="77777777" w:rsidR="0082708E" w:rsidRDefault="001D756B">
            <w:pPr>
              <w:widowControl w:val="0"/>
              <w:pBdr>
                <w:top w:val="nil"/>
                <w:left w:val="nil"/>
                <w:bottom w:val="nil"/>
                <w:right w:val="nil"/>
                <w:between w:val="nil"/>
              </w:pBdr>
              <w:spacing w:after="0" w:line="240" w:lineRule="auto"/>
              <w:jc w:val="center"/>
              <w:rPr>
                <w:b/>
              </w:rPr>
            </w:pPr>
            <w:r>
              <w:rPr>
                <w:b/>
              </w:rPr>
              <w:t>700 MHz FDD</w:t>
            </w:r>
          </w:p>
        </w:tc>
        <w:tc>
          <w:tcPr>
            <w:tcW w:w="2042" w:type="dxa"/>
            <w:shd w:val="clear" w:color="auto" w:fill="auto"/>
            <w:tcMar>
              <w:top w:w="100" w:type="dxa"/>
              <w:left w:w="100" w:type="dxa"/>
              <w:bottom w:w="100" w:type="dxa"/>
              <w:right w:w="100" w:type="dxa"/>
            </w:tcMar>
          </w:tcPr>
          <w:p w14:paraId="1AA265D6" w14:textId="77777777" w:rsidR="0082708E" w:rsidRDefault="001D756B">
            <w:pPr>
              <w:widowControl w:val="0"/>
              <w:pBdr>
                <w:top w:val="nil"/>
                <w:left w:val="nil"/>
                <w:bottom w:val="nil"/>
                <w:right w:val="nil"/>
                <w:between w:val="nil"/>
              </w:pBdr>
              <w:spacing w:after="0" w:line="240" w:lineRule="auto"/>
              <w:jc w:val="center"/>
              <w:rPr>
                <w:b/>
              </w:rPr>
            </w:pPr>
            <w:r>
              <w:rPr>
                <w:b/>
              </w:rPr>
              <w:t>4GHz TDD DDDSU</w:t>
            </w:r>
          </w:p>
        </w:tc>
        <w:tc>
          <w:tcPr>
            <w:tcW w:w="2042" w:type="dxa"/>
            <w:shd w:val="clear" w:color="auto" w:fill="auto"/>
            <w:tcMar>
              <w:top w:w="100" w:type="dxa"/>
              <w:left w:w="100" w:type="dxa"/>
              <w:bottom w:w="100" w:type="dxa"/>
              <w:right w:w="100" w:type="dxa"/>
            </w:tcMar>
          </w:tcPr>
          <w:p w14:paraId="632978C3" w14:textId="77777777" w:rsidR="0082708E" w:rsidRDefault="001D756B">
            <w:pPr>
              <w:widowControl w:val="0"/>
              <w:pBdr>
                <w:top w:val="nil"/>
                <w:left w:val="nil"/>
                <w:bottom w:val="nil"/>
                <w:right w:val="nil"/>
                <w:between w:val="nil"/>
              </w:pBdr>
              <w:spacing w:after="0" w:line="240" w:lineRule="auto"/>
              <w:jc w:val="center"/>
              <w:rPr>
                <w:b/>
              </w:rPr>
            </w:pPr>
            <w:r>
              <w:rPr>
                <w:b/>
              </w:rPr>
              <w:t>Difference</w:t>
            </w:r>
          </w:p>
        </w:tc>
      </w:tr>
      <w:tr w:rsidR="0082708E" w14:paraId="6EC698F7" w14:textId="77777777">
        <w:tc>
          <w:tcPr>
            <w:tcW w:w="3157" w:type="dxa"/>
            <w:shd w:val="clear" w:color="auto" w:fill="auto"/>
            <w:tcMar>
              <w:top w:w="100" w:type="dxa"/>
              <w:left w:w="100" w:type="dxa"/>
              <w:bottom w:w="100" w:type="dxa"/>
              <w:right w:w="100" w:type="dxa"/>
            </w:tcMar>
          </w:tcPr>
          <w:p w14:paraId="3ECBC720" w14:textId="77777777" w:rsidR="0082708E" w:rsidRDefault="001D756B">
            <w:pPr>
              <w:widowControl w:val="0"/>
              <w:pBdr>
                <w:top w:val="nil"/>
                <w:left w:val="nil"/>
                <w:bottom w:val="nil"/>
                <w:right w:val="nil"/>
                <w:between w:val="nil"/>
              </w:pBdr>
              <w:spacing w:after="0" w:line="240" w:lineRule="auto"/>
              <w:jc w:val="left"/>
              <w:rPr>
                <w:b/>
              </w:rPr>
            </w:pPr>
            <w:r>
              <w:rPr>
                <w:b/>
              </w:rPr>
              <w:t>Frequency</w:t>
            </w:r>
          </w:p>
        </w:tc>
        <w:tc>
          <w:tcPr>
            <w:tcW w:w="2112" w:type="dxa"/>
            <w:shd w:val="clear" w:color="auto" w:fill="auto"/>
            <w:tcMar>
              <w:top w:w="100" w:type="dxa"/>
              <w:left w:w="100" w:type="dxa"/>
              <w:bottom w:w="100" w:type="dxa"/>
              <w:right w:w="100" w:type="dxa"/>
            </w:tcMar>
          </w:tcPr>
          <w:p w14:paraId="2AA2F197" w14:textId="77777777" w:rsidR="0082708E" w:rsidRDefault="001D756B">
            <w:pPr>
              <w:widowControl w:val="0"/>
              <w:pBdr>
                <w:top w:val="nil"/>
                <w:left w:val="nil"/>
                <w:bottom w:val="nil"/>
                <w:right w:val="nil"/>
                <w:between w:val="nil"/>
              </w:pBdr>
              <w:spacing w:after="0" w:line="240" w:lineRule="auto"/>
              <w:jc w:val="center"/>
            </w:pPr>
            <w:r>
              <w:t>700 MHz</w:t>
            </w:r>
          </w:p>
        </w:tc>
        <w:tc>
          <w:tcPr>
            <w:tcW w:w="2042" w:type="dxa"/>
            <w:shd w:val="clear" w:color="auto" w:fill="auto"/>
            <w:tcMar>
              <w:top w:w="100" w:type="dxa"/>
              <w:left w:w="100" w:type="dxa"/>
              <w:bottom w:w="100" w:type="dxa"/>
              <w:right w:w="100" w:type="dxa"/>
            </w:tcMar>
          </w:tcPr>
          <w:p w14:paraId="481AF4F6" w14:textId="77777777" w:rsidR="0082708E" w:rsidRDefault="001D756B">
            <w:pPr>
              <w:widowControl w:val="0"/>
              <w:pBdr>
                <w:top w:val="nil"/>
                <w:left w:val="nil"/>
                <w:bottom w:val="nil"/>
                <w:right w:val="nil"/>
                <w:between w:val="nil"/>
              </w:pBdr>
              <w:spacing w:after="0" w:line="240" w:lineRule="auto"/>
              <w:jc w:val="center"/>
            </w:pPr>
            <w:r>
              <w:t>4 GHz</w:t>
            </w:r>
          </w:p>
        </w:tc>
        <w:tc>
          <w:tcPr>
            <w:tcW w:w="2042" w:type="dxa"/>
            <w:shd w:val="clear" w:color="auto" w:fill="auto"/>
            <w:tcMar>
              <w:top w:w="100" w:type="dxa"/>
              <w:left w:w="100" w:type="dxa"/>
              <w:bottom w:w="100" w:type="dxa"/>
              <w:right w:w="100" w:type="dxa"/>
            </w:tcMar>
          </w:tcPr>
          <w:p w14:paraId="4D3469AB" w14:textId="77777777" w:rsidR="0082708E" w:rsidRDefault="001D756B">
            <w:pPr>
              <w:widowControl w:val="0"/>
              <w:pBdr>
                <w:top w:val="nil"/>
                <w:left w:val="nil"/>
                <w:bottom w:val="nil"/>
                <w:right w:val="nil"/>
                <w:between w:val="nil"/>
              </w:pBdr>
              <w:spacing w:after="0" w:line="240" w:lineRule="auto"/>
              <w:jc w:val="center"/>
            </w:pPr>
            <w:r>
              <w:t>15.1 dB</w:t>
            </w:r>
          </w:p>
        </w:tc>
      </w:tr>
      <w:tr w:rsidR="0082708E" w14:paraId="01BBFAD8" w14:textId="77777777">
        <w:tc>
          <w:tcPr>
            <w:tcW w:w="3157" w:type="dxa"/>
            <w:shd w:val="clear" w:color="auto" w:fill="auto"/>
            <w:tcMar>
              <w:top w:w="100" w:type="dxa"/>
              <w:left w:w="100" w:type="dxa"/>
              <w:bottom w:w="100" w:type="dxa"/>
              <w:right w:w="100" w:type="dxa"/>
            </w:tcMar>
          </w:tcPr>
          <w:p w14:paraId="53E71F62" w14:textId="77777777" w:rsidR="0082708E" w:rsidRDefault="001D756B">
            <w:pPr>
              <w:widowControl w:val="0"/>
              <w:pBdr>
                <w:top w:val="nil"/>
                <w:left w:val="nil"/>
                <w:bottom w:val="nil"/>
                <w:right w:val="nil"/>
                <w:between w:val="nil"/>
              </w:pBdr>
              <w:spacing w:after="0" w:line="240" w:lineRule="auto"/>
              <w:jc w:val="left"/>
              <w:rPr>
                <w:b/>
              </w:rPr>
            </w:pPr>
            <w:r>
              <w:rPr>
                <w:b/>
              </w:rPr>
              <w:t xml:space="preserve">BS antenna gain </w:t>
            </w:r>
          </w:p>
          <w:p w14:paraId="64ABE2EB" w14:textId="77777777" w:rsidR="0082708E" w:rsidRDefault="0082708E">
            <w:pPr>
              <w:widowControl w:val="0"/>
              <w:pBdr>
                <w:top w:val="nil"/>
                <w:left w:val="nil"/>
                <w:bottom w:val="nil"/>
                <w:right w:val="nil"/>
                <w:between w:val="nil"/>
              </w:pBdr>
              <w:spacing w:after="0" w:line="240" w:lineRule="auto"/>
              <w:jc w:val="left"/>
              <w:rPr>
                <w:sz w:val="18"/>
                <w:szCs w:val="18"/>
              </w:rPr>
            </w:pPr>
          </w:p>
        </w:tc>
        <w:tc>
          <w:tcPr>
            <w:tcW w:w="2112" w:type="dxa"/>
            <w:shd w:val="clear" w:color="auto" w:fill="auto"/>
            <w:tcMar>
              <w:top w:w="100" w:type="dxa"/>
              <w:left w:w="100" w:type="dxa"/>
              <w:bottom w:w="100" w:type="dxa"/>
              <w:right w:w="100" w:type="dxa"/>
            </w:tcMar>
          </w:tcPr>
          <w:p w14:paraId="312D35ED" w14:textId="77777777" w:rsidR="0082708E" w:rsidRDefault="001D756B">
            <w:pPr>
              <w:widowControl w:val="0"/>
              <w:pBdr>
                <w:top w:val="nil"/>
                <w:left w:val="nil"/>
                <w:bottom w:val="nil"/>
                <w:right w:val="nil"/>
                <w:between w:val="nil"/>
              </w:pBdr>
              <w:spacing w:after="0" w:line="240" w:lineRule="auto"/>
              <w:jc w:val="center"/>
              <w:rPr>
                <w:sz w:val="18"/>
                <w:szCs w:val="18"/>
              </w:rPr>
            </w:pPr>
            <w:r>
              <w:rPr>
                <w:sz w:val="18"/>
                <w:szCs w:val="18"/>
              </w:rPr>
              <w:t>8dBi antenna gain</w:t>
            </w:r>
          </w:p>
          <w:p w14:paraId="2E7A95CC" w14:textId="77777777" w:rsidR="0082708E" w:rsidRDefault="001D756B">
            <w:pPr>
              <w:widowControl w:val="0"/>
              <w:pBdr>
                <w:top w:val="nil"/>
                <w:left w:val="nil"/>
                <w:bottom w:val="nil"/>
                <w:right w:val="nil"/>
                <w:between w:val="nil"/>
              </w:pBdr>
              <w:spacing w:after="0" w:line="240" w:lineRule="auto"/>
              <w:jc w:val="center"/>
              <w:rPr>
                <w:sz w:val="18"/>
                <w:szCs w:val="18"/>
              </w:rPr>
            </w:pPr>
            <w:r>
              <w:rPr>
                <w:sz w:val="18"/>
                <w:szCs w:val="18"/>
              </w:rPr>
              <w:t xml:space="preserve">2 TXRU, 16 receive antenna </w:t>
            </w:r>
          </w:p>
          <w:p w14:paraId="2FD17EA3" w14:textId="77777777" w:rsidR="0082708E" w:rsidRDefault="001D756B">
            <w:pPr>
              <w:widowControl w:val="0"/>
              <w:pBdr>
                <w:top w:val="nil"/>
                <w:left w:val="nil"/>
                <w:bottom w:val="nil"/>
                <w:right w:val="nil"/>
                <w:between w:val="nil"/>
              </w:pBdr>
              <w:spacing w:after="0" w:line="240" w:lineRule="auto"/>
              <w:jc w:val="center"/>
              <w:rPr>
                <w:sz w:val="18"/>
                <w:szCs w:val="18"/>
              </w:rPr>
            </w:pPr>
            <w:r>
              <w:rPr>
                <w:sz w:val="18"/>
                <w:szCs w:val="18"/>
              </w:rPr>
              <w:t>0 dBi receiver antenna gain component 2</w:t>
            </w:r>
          </w:p>
        </w:tc>
        <w:tc>
          <w:tcPr>
            <w:tcW w:w="2042" w:type="dxa"/>
            <w:shd w:val="clear" w:color="auto" w:fill="auto"/>
            <w:tcMar>
              <w:top w:w="100" w:type="dxa"/>
              <w:left w:w="100" w:type="dxa"/>
              <w:bottom w:w="100" w:type="dxa"/>
              <w:right w:w="100" w:type="dxa"/>
            </w:tcMar>
          </w:tcPr>
          <w:p w14:paraId="12F410A7" w14:textId="77777777" w:rsidR="0082708E" w:rsidRDefault="001D756B">
            <w:pPr>
              <w:widowControl w:val="0"/>
              <w:pBdr>
                <w:top w:val="nil"/>
                <w:left w:val="nil"/>
                <w:bottom w:val="nil"/>
                <w:right w:val="nil"/>
                <w:between w:val="nil"/>
              </w:pBdr>
              <w:spacing w:after="0" w:line="240" w:lineRule="auto"/>
              <w:jc w:val="center"/>
              <w:rPr>
                <w:sz w:val="18"/>
                <w:szCs w:val="18"/>
              </w:rPr>
            </w:pPr>
            <w:r>
              <w:rPr>
                <w:sz w:val="18"/>
                <w:szCs w:val="18"/>
              </w:rPr>
              <w:t>8dBi antenna gain</w:t>
            </w:r>
          </w:p>
          <w:p w14:paraId="382F9D8D" w14:textId="77777777" w:rsidR="0082708E" w:rsidRDefault="001D756B">
            <w:pPr>
              <w:widowControl w:val="0"/>
              <w:pBdr>
                <w:top w:val="nil"/>
                <w:left w:val="nil"/>
                <w:bottom w:val="nil"/>
                <w:right w:val="nil"/>
                <w:between w:val="nil"/>
              </w:pBdr>
              <w:spacing w:after="0" w:line="240" w:lineRule="auto"/>
              <w:jc w:val="center"/>
              <w:rPr>
                <w:sz w:val="18"/>
                <w:szCs w:val="18"/>
              </w:rPr>
            </w:pPr>
            <w:r>
              <w:rPr>
                <w:sz w:val="18"/>
                <w:szCs w:val="18"/>
              </w:rPr>
              <w:t xml:space="preserve">64 TXRU, 192 receive antenna, </w:t>
            </w:r>
          </w:p>
          <w:p w14:paraId="15BBFD9F" w14:textId="77777777" w:rsidR="0082708E" w:rsidRDefault="001D756B">
            <w:pPr>
              <w:widowControl w:val="0"/>
              <w:pBdr>
                <w:top w:val="nil"/>
                <w:left w:val="nil"/>
                <w:bottom w:val="nil"/>
                <w:right w:val="nil"/>
                <w:between w:val="nil"/>
              </w:pBdr>
              <w:spacing w:after="0" w:line="240" w:lineRule="auto"/>
              <w:jc w:val="center"/>
              <w:rPr>
                <w:sz w:val="18"/>
                <w:szCs w:val="18"/>
              </w:rPr>
            </w:pPr>
            <w:r>
              <w:rPr>
                <w:sz w:val="18"/>
                <w:szCs w:val="18"/>
              </w:rPr>
              <w:t>12 dBi receiver antenna gain component 2</w:t>
            </w:r>
          </w:p>
        </w:tc>
        <w:tc>
          <w:tcPr>
            <w:tcW w:w="2042" w:type="dxa"/>
            <w:shd w:val="clear" w:color="auto" w:fill="auto"/>
            <w:tcMar>
              <w:top w:w="100" w:type="dxa"/>
              <w:left w:w="100" w:type="dxa"/>
              <w:bottom w:w="100" w:type="dxa"/>
              <w:right w:w="100" w:type="dxa"/>
            </w:tcMar>
          </w:tcPr>
          <w:p w14:paraId="67FD769B" w14:textId="77777777" w:rsidR="0082708E" w:rsidRDefault="001D756B">
            <w:pPr>
              <w:widowControl w:val="0"/>
              <w:pBdr>
                <w:top w:val="nil"/>
                <w:left w:val="nil"/>
                <w:bottom w:val="nil"/>
                <w:right w:val="nil"/>
                <w:between w:val="nil"/>
              </w:pBdr>
              <w:spacing w:after="0" w:line="240" w:lineRule="auto"/>
              <w:jc w:val="center"/>
            </w:pPr>
            <w:r>
              <w:t>-7.7 dB</w:t>
            </w:r>
          </w:p>
        </w:tc>
      </w:tr>
      <w:tr w:rsidR="0082708E" w14:paraId="46CA57C4" w14:textId="77777777">
        <w:tc>
          <w:tcPr>
            <w:tcW w:w="3157" w:type="dxa"/>
            <w:shd w:val="clear" w:color="auto" w:fill="auto"/>
            <w:tcMar>
              <w:top w:w="100" w:type="dxa"/>
              <w:left w:w="100" w:type="dxa"/>
              <w:bottom w:w="100" w:type="dxa"/>
              <w:right w:w="100" w:type="dxa"/>
            </w:tcMar>
          </w:tcPr>
          <w:p w14:paraId="2392DE7A" w14:textId="77777777" w:rsidR="0082708E" w:rsidRDefault="001D756B">
            <w:pPr>
              <w:widowControl w:val="0"/>
              <w:pBdr>
                <w:top w:val="nil"/>
                <w:left w:val="nil"/>
                <w:bottom w:val="nil"/>
                <w:right w:val="nil"/>
                <w:between w:val="nil"/>
              </w:pBdr>
              <w:spacing w:after="0" w:line="240" w:lineRule="auto"/>
              <w:jc w:val="left"/>
              <w:rPr>
                <w:b/>
              </w:rPr>
            </w:pPr>
            <w:r>
              <w:rPr>
                <w:b/>
              </w:rPr>
              <w:t>Shadow fading</w:t>
            </w:r>
          </w:p>
        </w:tc>
        <w:tc>
          <w:tcPr>
            <w:tcW w:w="2112" w:type="dxa"/>
            <w:shd w:val="clear" w:color="auto" w:fill="auto"/>
            <w:tcMar>
              <w:top w:w="100" w:type="dxa"/>
              <w:left w:w="100" w:type="dxa"/>
              <w:bottom w:w="100" w:type="dxa"/>
              <w:right w:w="100" w:type="dxa"/>
            </w:tcMar>
          </w:tcPr>
          <w:p w14:paraId="546DB607" w14:textId="77777777" w:rsidR="0082708E" w:rsidRDefault="001D756B">
            <w:pPr>
              <w:widowControl w:val="0"/>
              <w:pBdr>
                <w:top w:val="nil"/>
                <w:left w:val="nil"/>
                <w:bottom w:val="nil"/>
                <w:right w:val="nil"/>
                <w:between w:val="nil"/>
              </w:pBdr>
              <w:spacing w:after="0" w:line="240" w:lineRule="auto"/>
              <w:jc w:val="center"/>
            </w:pPr>
            <w:r>
              <w:t>5.1 dB</w:t>
            </w:r>
          </w:p>
        </w:tc>
        <w:tc>
          <w:tcPr>
            <w:tcW w:w="2042" w:type="dxa"/>
            <w:shd w:val="clear" w:color="auto" w:fill="auto"/>
            <w:tcMar>
              <w:top w:w="100" w:type="dxa"/>
              <w:left w:w="100" w:type="dxa"/>
              <w:bottom w:w="100" w:type="dxa"/>
              <w:right w:w="100" w:type="dxa"/>
            </w:tcMar>
          </w:tcPr>
          <w:p w14:paraId="0FED14DF" w14:textId="77777777" w:rsidR="0082708E" w:rsidRDefault="001D756B">
            <w:pPr>
              <w:widowControl w:val="0"/>
              <w:pBdr>
                <w:top w:val="nil"/>
                <w:left w:val="nil"/>
                <w:bottom w:val="nil"/>
                <w:right w:val="nil"/>
                <w:between w:val="nil"/>
              </w:pBdr>
              <w:spacing w:after="0" w:line="240" w:lineRule="auto"/>
              <w:jc w:val="center"/>
            </w:pPr>
            <w:r>
              <w:t>4.5 dB</w:t>
            </w:r>
          </w:p>
        </w:tc>
        <w:tc>
          <w:tcPr>
            <w:tcW w:w="2042" w:type="dxa"/>
            <w:shd w:val="clear" w:color="auto" w:fill="auto"/>
            <w:tcMar>
              <w:top w:w="100" w:type="dxa"/>
              <w:left w:w="100" w:type="dxa"/>
              <w:bottom w:w="100" w:type="dxa"/>
              <w:right w:w="100" w:type="dxa"/>
            </w:tcMar>
          </w:tcPr>
          <w:p w14:paraId="154658D3" w14:textId="77777777" w:rsidR="0082708E" w:rsidRDefault="001D756B">
            <w:pPr>
              <w:widowControl w:val="0"/>
              <w:pBdr>
                <w:top w:val="nil"/>
                <w:left w:val="nil"/>
                <w:bottom w:val="nil"/>
                <w:right w:val="nil"/>
                <w:between w:val="nil"/>
              </w:pBdr>
              <w:spacing w:after="0" w:line="240" w:lineRule="auto"/>
              <w:jc w:val="center"/>
            </w:pPr>
            <w:r>
              <w:t>0.6 dB</w:t>
            </w:r>
          </w:p>
        </w:tc>
      </w:tr>
      <w:tr w:rsidR="0082708E" w14:paraId="31346287" w14:textId="77777777">
        <w:tc>
          <w:tcPr>
            <w:tcW w:w="3157" w:type="dxa"/>
            <w:shd w:val="clear" w:color="auto" w:fill="auto"/>
            <w:tcMar>
              <w:top w:w="100" w:type="dxa"/>
              <w:left w:w="100" w:type="dxa"/>
              <w:bottom w:w="100" w:type="dxa"/>
              <w:right w:w="100" w:type="dxa"/>
            </w:tcMar>
          </w:tcPr>
          <w:p w14:paraId="5B95CE1F" w14:textId="77777777" w:rsidR="0082708E" w:rsidRDefault="001D756B">
            <w:pPr>
              <w:widowControl w:val="0"/>
              <w:pBdr>
                <w:top w:val="nil"/>
                <w:left w:val="nil"/>
                <w:bottom w:val="nil"/>
                <w:right w:val="nil"/>
                <w:between w:val="nil"/>
              </w:pBdr>
              <w:spacing w:after="0" w:line="240" w:lineRule="auto"/>
              <w:jc w:val="left"/>
              <w:rPr>
                <w:b/>
              </w:rPr>
            </w:pPr>
            <w:r>
              <w:rPr>
                <w:b/>
              </w:rPr>
              <w:t>Penetration margin</w:t>
            </w:r>
          </w:p>
        </w:tc>
        <w:tc>
          <w:tcPr>
            <w:tcW w:w="2112" w:type="dxa"/>
            <w:shd w:val="clear" w:color="auto" w:fill="auto"/>
            <w:tcMar>
              <w:top w:w="100" w:type="dxa"/>
              <w:left w:w="100" w:type="dxa"/>
              <w:bottom w:w="100" w:type="dxa"/>
              <w:right w:w="100" w:type="dxa"/>
            </w:tcMar>
          </w:tcPr>
          <w:p w14:paraId="1D1165E3" w14:textId="77777777" w:rsidR="0082708E" w:rsidRDefault="001D756B">
            <w:pPr>
              <w:widowControl w:val="0"/>
              <w:pBdr>
                <w:top w:val="nil"/>
                <w:left w:val="nil"/>
                <w:bottom w:val="nil"/>
                <w:right w:val="nil"/>
                <w:between w:val="nil"/>
              </w:pBdr>
              <w:spacing w:after="0" w:line="240" w:lineRule="auto"/>
              <w:jc w:val="center"/>
            </w:pPr>
            <w:r>
              <w:t>12.5 dB</w:t>
            </w:r>
          </w:p>
        </w:tc>
        <w:tc>
          <w:tcPr>
            <w:tcW w:w="2042" w:type="dxa"/>
            <w:shd w:val="clear" w:color="auto" w:fill="auto"/>
            <w:tcMar>
              <w:top w:w="100" w:type="dxa"/>
              <w:left w:w="100" w:type="dxa"/>
              <w:bottom w:w="100" w:type="dxa"/>
              <w:right w:w="100" w:type="dxa"/>
            </w:tcMar>
          </w:tcPr>
          <w:p w14:paraId="3F7E7B26" w14:textId="77777777" w:rsidR="0082708E" w:rsidRDefault="001D756B">
            <w:pPr>
              <w:widowControl w:val="0"/>
              <w:pBdr>
                <w:top w:val="nil"/>
                <w:left w:val="nil"/>
                <w:bottom w:val="nil"/>
                <w:right w:val="nil"/>
                <w:between w:val="nil"/>
              </w:pBdr>
              <w:spacing w:after="0" w:line="240" w:lineRule="auto"/>
              <w:jc w:val="center"/>
            </w:pPr>
            <w:r>
              <w:t>26.2 dB</w:t>
            </w:r>
          </w:p>
        </w:tc>
        <w:tc>
          <w:tcPr>
            <w:tcW w:w="2042" w:type="dxa"/>
            <w:shd w:val="clear" w:color="auto" w:fill="auto"/>
            <w:tcMar>
              <w:top w:w="100" w:type="dxa"/>
              <w:left w:w="100" w:type="dxa"/>
              <w:bottom w:w="100" w:type="dxa"/>
              <w:right w:w="100" w:type="dxa"/>
            </w:tcMar>
          </w:tcPr>
          <w:p w14:paraId="724737CB" w14:textId="77777777" w:rsidR="0082708E" w:rsidRDefault="001D756B">
            <w:pPr>
              <w:widowControl w:val="0"/>
              <w:pBdr>
                <w:top w:val="nil"/>
                <w:left w:val="nil"/>
                <w:bottom w:val="nil"/>
                <w:right w:val="nil"/>
                <w:between w:val="nil"/>
              </w:pBdr>
              <w:spacing w:after="0" w:line="240" w:lineRule="auto"/>
              <w:jc w:val="center"/>
            </w:pPr>
            <w:r>
              <w:t>13.7 dB</w:t>
            </w:r>
          </w:p>
        </w:tc>
      </w:tr>
      <w:tr w:rsidR="0082708E" w14:paraId="63124C7D" w14:textId="77777777">
        <w:tc>
          <w:tcPr>
            <w:tcW w:w="3157" w:type="dxa"/>
            <w:shd w:val="clear" w:color="auto" w:fill="auto"/>
            <w:tcMar>
              <w:top w:w="100" w:type="dxa"/>
              <w:left w:w="100" w:type="dxa"/>
              <w:bottom w:w="100" w:type="dxa"/>
              <w:right w:w="100" w:type="dxa"/>
            </w:tcMar>
          </w:tcPr>
          <w:p w14:paraId="41B4B194" w14:textId="77777777" w:rsidR="0082708E" w:rsidRDefault="001D756B">
            <w:pPr>
              <w:widowControl w:val="0"/>
              <w:pBdr>
                <w:top w:val="nil"/>
                <w:left w:val="nil"/>
                <w:bottom w:val="nil"/>
                <w:right w:val="nil"/>
                <w:between w:val="nil"/>
              </w:pBdr>
              <w:spacing w:after="0" w:line="240" w:lineRule="auto"/>
              <w:jc w:val="left"/>
              <w:rPr>
                <w:b/>
              </w:rPr>
            </w:pPr>
            <w:r>
              <w:rPr>
                <w:b/>
              </w:rPr>
              <w:t>DL:UL resource allocation</w:t>
            </w:r>
          </w:p>
        </w:tc>
        <w:tc>
          <w:tcPr>
            <w:tcW w:w="2112" w:type="dxa"/>
            <w:shd w:val="clear" w:color="auto" w:fill="auto"/>
            <w:tcMar>
              <w:top w:w="100" w:type="dxa"/>
              <w:left w:w="100" w:type="dxa"/>
              <w:bottom w:w="100" w:type="dxa"/>
              <w:right w:w="100" w:type="dxa"/>
            </w:tcMar>
          </w:tcPr>
          <w:p w14:paraId="4C0D611E" w14:textId="77777777" w:rsidR="0082708E" w:rsidRDefault="001D756B">
            <w:pPr>
              <w:widowControl w:val="0"/>
              <w:pBdr>
                <w:top w:val="nil"/>
                <w:left w:val="nil"/>
                <w:bottom w:val="nil"/>
                <w:right w:val="nil"/>
                <w:between w:val="nil"/>
              </w:pBdr>
              <w:spacing w:after="0" w:line="240" w:lineRule="auto"/>
              <w:jc w:val="center"/>
            </w:pPr>
            <w:r>
              <w:t xml:space="preserve">100% UL in UL band </w:t>
            </w:r>
          </w:p>
        </w:tc>
        <w:tc>
          <w:tcPr>
            <w:tcW w:w="2042" w:type="dxa"/>
            <w:shd w:val="clear" w:color="auto" w:fill="auto"/>
            <w:tcMar>
              <w:top w:w="100" w:type="dxa"/>
              <w:left w:w="100" w:type="dxa"/>
              <w:bottom w:w="100" w:type="dxa"/>
              <w:right w:w="100" w:type="dxa"/>
            </w:tcMar>
          </w:tcPr>
          <w:p w14:paraId="38539A62" w14:textId="77777777" w:rsidR="0082708E" w:rsidRDefault="001D756B">
            <w:pPr>
              <w:widowControl w:val="0"/>
              <w:pBdr>
                <w:top w:val="nil"/>
                <w:left w:val="nil"/>
                <w:bottom w:val="nil"/>
                <w:right w:val="nil"/>
                <w:between w:val="nil"/>
              </w:pBdr>
              <w:spacing w:after="0" w:line="240" w:lineRule="auto"/>
              <w:jc w:val="center"/>
            </w:pPr>
            <w:r>
              <w:t>4:1</w:t>
            </w:r>
          </w:p>
        </w:tc>
        <w:tc>
          <w:tcPr>
            <w:tcW w:w="2042" w:type="dxa"/>
            <w:shd w:val="clear" w:color="auto" w:fill="auto"/>
            <w:tcMar>
              <w:top w:w="100" w:type="dxa"/>
              <w:left w:w="100" w:type="dxa"/>
              <w:bottom w:w="100" w:type="dxa"/>
              <w:right w:w="100" w:type="dxa"/>
            </w:tcMar>
          </w:tcPr>
          <w:p w14:paraId="7A567D50" w14:textId="77777777" w:rsidR="0082708E" w:rsidRDefault="001D756B">
            <w:pPr>
              <w:widowControl w:val="0"/>
              <w:pBdr>
                <w:top w:val="nil"/>
                <w:left w:val="nil"/>
                <w:bottom w:val="nil"/>
                <w:right w:val="nil"/>
                <w:between w:val="nil"/>
              </w:pBdr>
              <w:spacing w:after="0" w:line="240" w:lineRule="auto"/>
              <w:jc w:val="center"/>
            </w:pPr>
            <w:r>
              <w:t>7 dB</w:t>
            </w:r>
          </w:p>
        </w:tc>
      </w:tr>
      <w:tr w:rsidR="0082708E" w14:paraId="1BED8183" w14:textId="77777777">
        <w:tc>
          <w:tcPr>
            <w:tcW w:w="3157" w:type="dxa"/>
            <w:shd w:val="clear" w:color="auto" w:fill="auto"/>
            <w:tcMar>
              <w:top w:w="100" w:type="dxa"/>
              <w:left w:w="100" w:type="dxa"/>
              <w:bottom w:w="100" w:type="dxa"/>
              <w:right w:w="100" w:type="dxa"/>
            </w:tcMar>
          </w:tcPr>
          <w:p w14:paraId="500D3CF0" w14:textId="77777777" w:rsidR="0082708E" w:rsidRDefault="001D756B">
            <w:pPr>
              <w:widowControl w:val="0"/>
              <w:pBdr>
                <w:top w:val="nil"/>
                <w:left w:val="nil"/>
                <w:bottom w:val="nil"/>
                <w:right w:val="nil"/>
                <w:between w:val="nil"/>
              </w:pBdr>
              <w:spacing w:after="0" w:line="240" w:lineRule="auto"/>
              <w:jc w:val="left"/>
              <w:rPr>
                <w:b/>
              </w:rPr>
            </w:pPr>
            <w:r>
              <w:rPr>
                <w:b/>
              </w:rPr>
              <w:t xml:space="preserve">Total difference in coverage between different frequencies </w:t>
            </w:r>
          </w:p>
        </w:tc>
        <w:tc>
          <w:tcPr>
            <w:tcW w:w="2112" w:type="dxa"/>
            <w:shd w:val="clear" w:color="auto" w:fill="auto"/>
            <w:tcMar>
              <w:top w:w="100" w:type="dxa"/>
              <w:left w:w="100" w:type="dxa"/>
              <w:bottom w:w="100" w:type="dxa"/>
              <w:right w:w="100" w:type="dxa"/>
            </w:tcMar>
          </w:tcPr>
          <w:p w14:paraId="26E7A1C0" w14:textId="77777777" w:rsidR="0082708E" w:rsidRDefault="0082708E">
            <w:pPr>
              <w:widowControl w:val="0"/>
              <w:pBdr>
                <w:top w:val="nil"/>
                <w:left w:val="nil"/>
                <w:bottom w:val="nil"/>
                <w:right w:val="nil"/>
                <w:between w:val="nil"/>
              </w:pBdr>
              <w:spacing w:after="0" w:line="240" w:lineRule="auto"/>
              <w:jc w:val="center"/>
            </w:pPr>
          </w:p>
        </w:tc>
        <w:tc>
          <w:tcPr>
            <w:tcW w:w="2042" w:type="dxa"/>
            <w:shd w:val="clear" w:color="auto" w:fill="auto"/>
            <w:tcMar>
              <w:top w:w="100" w:type="dxa"/>
              <w:left w:w="100" w:type="dxa"/>
              <w:bottom w:w="100" w:type="dxa"/>
              <w:right w:w="100" w:type="dxa"/>
            </w:tcMar>
          </w:tcPr>
          <w:p w14:paraId="1F34FF12" w14:textId="77777777" w:rsidR="0082708E" w:rsidRDefault="0082708E">
            <w:pPr>
              <w:widowControl w:val="0"/>
              <w:pBdr>
                <w:top w:val="nil"/>
                <w:left w:val="nil"/>
                <w:bottom w:val="nil"/>
                <w:right w:val="nil"/>
                <w:between w:val="nil"/>
              </w:pBdr>
              <w:spacing w:after="0" w:line="240" w:lineRule="auto"/>
              <w:jc w:val="center"/>
            </w:pPr>
          </w:p>
        </w:tc>
        <w:tc>
          <w:tcPr>
            <w:tcW w:w="2042" w:type="dxa"/>
            <w:shd w:val="clear" w:color="auto" w:fill="auto"/>
            <w:tcMar>
              <w:top w:w="100" w:type="dxa"/>
              <w:left w:w="100" w:type="dxa"/>
              <w:bottom w:w="100" w:type="dxa"/>
              <w:right w:w="100" w:type="dxa"/>
            </w:tcMar>
          </w:tcPr>
          <w:p w14:paraId="4F2A117B" w14:textId="77777777" w:rsidR="0082708E" w:rsidRDefault="001D756B">
            <w:pPr>
              <w:widowControl w:val="0"/>
              <w:pBdr>
                <w:top w:val="nil"/>
                <w:left w:val="nil"/>
                <w:bottom w:val="nil"/>
                <w:right w:val="nil"/>
                <w:between w:val="nil"/>
              </w:pBdr>
              <w:spacing w:after="0" w:line="240" w:lineRule="auto"/>
              <w:jc w:val="center"/>
            </w:pPr>
            <w:r>
              <w:t>28.7 dB</w:t>
            </w:r>
          </w:p>
        </w:tc>
      </w:tr>
    </w:tbl>
    <w:p w14:paraId="018E52AA" w14:textId="77777777" w:rsidR="0082708E" w:rsidRDefault="0082708E">
      <w:pPr>
        <w:spacing w:after="240"/>
      </w:pPr>
    </w:p>
    <w:p w14:paraId="4C05EF97" w14:textId="1B87544A" w:rsidR="0082708E" w:rsidRDefault="001D756B">
      <w:pPr>
        <w:spacing w:after="240"/>
      </w:pPr>
      <w:r>
        <w:t xml:space="preserve">If coverage of </w:t>
      </w:r>
      <w:r w:rsidR="00CC2C4D">
        <w:t>HB/</w:t>
      </w:r>
      <w:r>
        <w:t xml:space="preserve">UHB is significantly smaller than LB leading to coverage holes within the deployment, then </w:t>
      </w:r>
      <w:r w:rsidR="00E83B75">
        <w:t xml:space="preserve">eMBB or </w:t>
      </w:r>
      <w:r>
        <w:t xml:space="preserve">RedCap devices won't be able to enjoy seamless mobility on </w:t>
      </w:r>
      <w:r w:rsidR="00EF4592">
        <w:t>HB/</w:t>
      </w:r>
      <w:r>
        <w:t xml:space="preserve">UHB. Finally, Rel-16 and 17 have introduced coverage enhancement schemes to enhance the coverage of DL and UL (with upto repetition factor of 32 in UL) which can ideally bridge upto 15 dB in coverage. However, in TDD deployments (most likely case for </w:t>
      </w:r>
      <w:r w:rsidR="00EF4592">
        <w:t>HB/</w:t>
      </w:r>
      <w:r>
        <w:t>UHB) where UL slots are 5 ms apart (in DDDSU deployment with 30KHz SCS), large repetition on the physical layer will result in untenable latency and decreasing spectral efficiency which we will discuss below as well.</w:t>
      </w:r>
    </w:p>
    <w:p w14:paraId="1AC557AA" w14:textId="3B2DAF8C" w:rsidR="0082708E" w:rsidRDefault="001D756B">
      <w:pPr>
        <w:spacing w:after="240"/>
        <w:rPr>
          <w:i/>
        </w:rPr>
      </w:pPr>
      <w:r>
        <w:rPr>
          <w:b/>
          <w:i/>
        </w:rPr>
        <w:t xml:space="preserve">Observation #1: </w:t>
      </w:r>
      <w:r w:rsidR="00EF4592">
        <w:rPr>
          <w:i/>
        </w:rPr>
        <w:t xml:space="preserve">eMBB devices or wearable </w:t>
      </w:r>
      <w:r>
        <w:rPr>
          <w:i/>
        </w:rPr>
        <w:t xml:space="preserve">devices with RedCap won’t be able to enjoy seamless mobility on </w:t>
      </w:r>
      <w:r w:rsidR="00EF4592">
        <w:rPr>
          <w:i/>
        </w:rPr>
        <w:t>HB/</w:t>
      </w:r>
      <w:r>
        <w:rPr>
          <w:i/>
        </w:rPr>
        <w:t xml:space="preserve">UHB  (e.g., </w:t>
      </w:r>
      <w:r w:rsidR="00DA6E20">
        <w:rPr>
          <w:i/>
        </w:rPr>
        <w:t>n41</w:t>
      </w:r>
      <w:r w:rsidR="00EF4592">
        <w:rPr>
          <w:i/>
        </w:rPr>
        <w:t>,</w:t>
      </w:r>
      <w:r>
        <w:rPr>
          <w:i/>
        </w:rPr>
        <w:t>n77 or US C-band) in FR1</w:t>
      </w:r>
      <w:r w:rsidR="00E83B75">
        <w:rPr>
          <w:i/>
        </w:rPr>
        <w:t xml:space="preserve">, in case of </w:t>
      </w:r>
      <w:r w:rsidR="005E19DD">
        <w:rPr>
          <w:i/>
        </w:rPr>
        <w:t>large coverage holes compared to LB.</w:t>
      </w:r>
    </w:p>
    <w:p w14:paraId="0D3A001C" w14:textId="04888A30" w:rsidR="00EF4592" w:rsidRPr="00EF4592" w:rsidRDefault="001D756B">
      <w:pPr>
        <w:spacing w:after="240"/>
        <w:rPr>
          <w:b/>
          <w:i/>
        </w:rPr>
      </w:pPr>
      <w:r>
        <w:rPr>
          <w:b/>
          <w:i/>
        </w:rPr>
        <w:t>Observation #2:</w:t>
      </w:r>
      <w:r>
        <w:rPr>
          <w:i/>
        </w:rPr>
        <w:t xml:space="preserve"> Large repetition in UL slots will result in untenable latency and reduced spectral efficiency.</w:t>
      </w:r>
      <w:r>
        <w:rPr>
          <w:b/>
          <w:i/>
        </w:rPr>
        <w:t xml:space="preserve"> </w:t>
      </w:r>
    </w:p>
    <w:p w14:paraId="4335C74E" w14:textId="77777777" w:rsidR="0082708E" w:rsidRDefault="0082708E">
      <w:pPr>
        <w:spacing w:after="240"/>
      </w:pPr>
    </w:p>
    <w:p w14:paraId="012BC452" w14:textId="77777777" w:rsidR="0082708E" w:rsidRDefault="001D756B">
      <w:pPr>
        <w:spacing w:after="240"/>
      </w:pPr>
      <w:r>
        <w:rPr>
          <w:b/>
        </w:rPr>
        <w:t>Limitations of hardware implementation for wearable devices</w:t>
      </w:r>
    </w:p>
    <w:p w14:paraId="07172E1F" w14:textId="05C97396" w:rsidR="0082708E" w:rsidRDefault="001D756B">
      <w:pPr>
        <w:spacing w:after="240"/>
      </w:pPr>
      <w:r>
        <w:t xml:space="preserve">Small and lightweight form-factors with a longer battery life are key design goals of the wearable devices. These goals lead to several design restrictions. Wearable devices, by nature, will be space limited and power limited to meet the KPI. Among other challenges, we recognize that antenna design within the limited footprint, the device can accommodate only a limited number of antennas for cellular </w:t>
      </w:r>
      <w:r w:rsidR="00D937DE">
        <w:t>technologies and</w:t>
      </w:r>
      <w:r>
        <w:t xml:space="preserve"> maintaining a good antenna efficiency across multiple bands (e.g., LB, MB and </w:t>
      </w:r>
      <w:r w:rsidR="00EF4592">
        <w:t>HB/</w:t>
      </w:r>
      <w:r>
        <w:t xml:space="preserve">UHB) with a single antenna is extremely challenging. Since a higher path loss is expected in </w:t>
      </w:r>
      <w:r w:rsidR="00EF4592">
        <w:t>HB/</w:t>
      </w:r>
      <w:r>
        <w:t xml:space="preserve">UHB compared to a lower frequency band which also causes reduced cell coverage, wearable devices operating in </w:t>
      </w:r>
      <w:r w:rsidR="00EF4592">
        <w:t>HB/</w:t>
      </w:r>
      <w:r>
        <w:t xml:space="preserve">UHB will suffer in uplink coverage. </w:t>
      </w:r>
    </w:p>
    <w:p w14:paraId="1F5114CF" w14:textId="675ED8B0" w:rsidR="0082708E" w:rsidRDefault="001D756B">
      <w:pPr>
        <w:spacing w:after="240"/>
        <w:rPr>
          <w:i/>
        </w:rPr>
      </w:pPr>
      <w:r>
        <w:rPr>
          <w:b/>
          <w:i/>
        </w:rPr>
        <w:t xml:space="preserve">Observation #3: </w:t>
      </w:r>
      <w:r>
        <w:rPr>
          <w:i/>
        </w:rPr>
        <w:t xml:space="preserve">A single antenna design with a good efficiency across multiple bands (e.g., LB, MB, and </w:t>
      </w:r>
      <w:r w:rsidR="00EF4592">
        <w:rPr>
          <w:i/>
        </w:rPr>
        <w:t>HB/</w:t>
      </w:r>
      <w:r>
        <w:rPr>
          <w:i/>
        </w:rPr>
        <w:t>UHB) in FR1 is extremely challenging for wearable devices with RedCap where space is limited.</w:t>
      </w:r>
    </w:p>
    <w:p w14:paraId="04981B5D" w14:textId="77777777" w:rsidR="0082708E" w:rsidRDefault="0082708E">
      <w:pPr>
        <w:spacing w:after="240"/>
      </w:pPr>
    </w:p>
    <w:p w14:paraId="5A5E658F" w14:textId="56EABDF8" w:rsidR="0082708E" w:rsidRDefault="001D756B">
      <w:pPr>
        <w:spacing w:after="240"/>
        <w:rPr>
          <w:b/>
        </w:rPr>
      </w:pPr>
      <w:r>
        <w:rPr>
          <w:b/>
        </w:rPr>
        <w:lastRenderedPageBreak/>
        <w:t xml:space="preserve">Limitations of the existing Rel-17 and Rel-18 coverage enhancement solutions for </w:t>
      </w:r>
      <w:r w:rsidR="00EF4592">
        <w:rPr>
          <w:b/>
        </w:rPr>
        <w:t xml:space="preserve">eMBB and </w:t>
      </w:r>
      <w:r>
        <w:rPr>
          <w:b/>
        </w:rPr>
        <w:t>wearable devices</w:t>
      </w:r>
    </w:p>
    <w:p w14:paraId="726B0BEE" w14:textId="2C0C9DE4" w:rsidR="0082708E" w:rsidRDefault="001D756B">
      <w:pPr>
        <w:spacing w:after="240"/>
      </w:pPr>
      <w:r>
        <w:t>The existing solutions in Rel-17 enhance the coverage mainly by PUSCH and PUCCH repetitions. However, repetition schemes reduce spectral efficiency. While the spectral utilisation reduction might not be critical for eMBB, it would be critical for wearable devices with reduced capabilities, where they are implemented with reduced maximum bandwidths, number of antennas, etc.</w:t>
      </w:r>
    </w:p>
    <w:p w14:paraId="0FB59E0D" w14:textId="1453E379" w:rsidR="0082708E" w:rsidRDefault="001D756B">
      <w:pPr>
        <w:spacing w:after="240"/>
      </w:pPr>
      <w:r>
        <w:t xml:space="preserve">In Rel-18, the approved WID [3] aims to further enhance the uplink coverage by PRACH enhancements, power domain enhancements, and dynamic DFT-s-OFDM switching. While these goals are worthwhile to investigate, they are </w:t>
      </w:r>
      <w:r w:rsidR="002C0E6D">
        <w:t xml:space="preserve">still </w:t>
      </w:r>
      <w:r>
        <w:t xml:space="preserve">incomplete for </w:t>
      </w:r>
      <w:r w:rsidR="002C0E6D">
        <w:t xml:space="preserve">eMBB and </w:t>
      </w:r>
      <w:r>
        <w:t xml:space="preserve">wearable devices. Especially, the power domain enhancements by increasing output power or reducing MPR/PAR might not be useful, </w:t>
      </w:r>
      <w:r w:rsidR="00D937DE">
        <w:t>applicable,</w:t>
      </w:r>
      <w:r>
        <w:t xml:space="preserve"> or challenging for wearable devices as we discussed in this contribution. </w:t>
      </w:r>
    </w:p>
    <w:p w14:paraId="457D247A" w14:textId="3A6618F4" w:rsidR="0082708E" w:rsidRDefault="001D756B">
      <w:pPr>
        <w:spacing w:after="240"/>
        <w:rPr>
          <w:i/>
        </w:rPr>
      </w:pPr>
      <w:r>
        <w:rPr>
          <w:b/>
          <w:i/>
        </w:rPr>
        <w:t xml:space="preserve">Observation #4: </w:t>
      </w:r>
      <w:r>
        <w:rPr>
          <w:i/>
        </w:rPr>
        <w:t xml:space="preserve">Existing coverage enhancement solutions by the repetitions </w:t>
      </w:r>
      <w:r w:rsidR="002C0E6D">
        <w:rPr>
          <w:i/>
        </w:rPr>
        <w:t>would reduce spectral efficiency for both eMBB and wearable devices.</w:t>
      </w:r>
      <w:r>
        <w:rPr>
          <w:i/>
        </w:rPr>
        <w:t xml:space="preserve"> </w:t>
      </w:r>
    </w:p>
    <w:p w14:paraId="6CED284C" w14:textId="7F9BAE0C" w:rsidR="0082708E" w:rsidRDefault="001D756B">
      <w:pPr>
        <w:spacing w:after="240"/>
        <w:rPr>
          <w:i/>
        </w:rPr>
      </w:pPr>
      <w:r>
        <w:rPr>
          <w:b/>
          <w:i/>
        </w:rPr>
        <w:t>Observation #5</w:t>
      </w:r>
      <w:r>
        <w:rPr>
          <w:i/>
        </w:rPr>
        <w:t xml:space="preserve">: Spectral efficiency degradation in wearable devices with RedCap might be </w:t>
      </w:r>
      <w:r w:rsidR="002C0E6D">
        <w:rPr>
          <w:i/>
        </w:rPr>
        <w:t xml:space="preserve">more </w:t>
      </w:r>
      <w:r>
        <w:rPr>
          <w:i/>
        </w:rPr>
        <w:t>critical in satisfactory user experience.</w:t>
      </w:r>
    </w:p>
    <w:p w14:paraId="612FCC7D" w14:textId="79D82C4B" w:rsidR="0082708E" w:rsidRDefault="001D756B">
      <w:pPr>
        <w:spacing w:after="240"/>
        <w:rPr>
          <w:i/>
        </w:rPr>
      </w:pPr>
      <w:r>
        <w:rPr>
          <w:b/>
          <w:i/>
        </w:rPr>
        <w:t xml:space="preserve">Proposal: </w:t>
      </w:r>
      <w:r>
        <w:rPr>
          <w:i/>
        </w:rPr>
        <w:t xml:space="preserve">It is necessary to have possible solutions without sacrificing the spectral efficiency where the user experience is critical in a higher frequency band (e.g., </w:t>
      </w:r>
      <w:r w:rsidR="00DA6E20">
        <w:rPr>
          <w:i/>
        </w:rPr>
        <w:t>n41</w:t>
      </w:r>
      <w:r w:rsidR="002C0E6D">
        <w:rPr>
          <w:i/>
        </w:rPr>
        <w:t xml:space="preserve">, </w:t>
      </w:r>
      <w:r>
        <w:rPr>
          <w:i/>
        </w:rPr>
        <w:t>n77 or US C-band).</w:t>
      </w:r>
    </w:p>
    <w:p w14:paraId="01C4D25F" w14:textId="77777777" w:rsidR="0082708E" w:rsidRDefault="0082708E">
      <w:pPr>
        <w:spacing w:after="240"/>
      </w:pPr>
    </w:p>
    <w:p w14:paraId="76C73CC2" w14:textId="77777777" w:rsidR="0082708E" w:rsidRDefault="001D756B">
      <w:pPr>
        <w:pStyle w:val="Heading1"/>
        <w:spacing w:before="120"/>
      </w:pPr>
      <w:r>
        <w:t>Conclusion</w:t>
      </w:r>
    </w:p>
    <w:p w14:paraId="5472CBCC" w14:textId="77777777" w:rsidR="0082708E" w:rsidRDefault="001D756B">
      <w:pPr>
        <w:spacing w:after="240"/>
      </w:pPr>
      <w:r>
        <w:t>To improve the UL coverage for the wearable devices, especially supporting UHB, it is strongly recommended to study the possible solutions without sacrificing the spectral efficiency where the user experience is critical in higher throughput use cases.</w:t>
      </w:r>
    </w:p>
    <w:p w14:paraId="5301427A" w14:textId="77777777" w:rsidR="0082708E" w:rsidRDefault="001D756B">
      <w:pPr>
        <w:spacing w:after="240"/>
      </w:pPr>
      <w:r>
        <w:t>In this paper, we made the following observations and proposal:</w:t>
      </w:r>
    </w:p>
    <w:p w14:paraId="72601557" w14:textId="75282969" w:rsidR="0082708E" w:rsidRDefault="001D756B">
      <w:pPr>
        <w:spacing w:after="240"/>
        <w:rPr>
          <w:i/>
        </w:rPr>
      </w:pPr>
      <w:r>
        <w:rPr>
          <w:b/>
          <w:i/>
        </w:rPr>
        <w:t xml:space="preserve">Observation #1: </w:t>
      </w:r>
      <w:r w:rsidR="002C0E6D" w:rsidRPr="001E0C47">
        <w:rPr>
          <w:bCs/>
          <w:i/>
        </w:rPr>
        <w:t>eMBB</w:t>
      </w:r>
      <w:r w:rsidR="00DA6E20" w:rsidRPr="001E0C47">
        <w:rPr>
          <w:bCs/>
          <w:i/>
        </w:rPr>
        <w:t xml:space="preserve"> devices or</w:t>
      </w:r>
      <w:r w:rsidR="00DA6E20">
        <w:rPr>
          <w:b/>
          <w:i/>
        </w:rPr>
        <w:t xml:space="preserve"> </w:t>
      </w:r>
      <w:r w:rsidR="00DA6E20">
        <w:rPr>
          <w:i/>
        </w:rPr>
        <w:t xml:space="preserve">wearable </w:t>
      </w:r>
      <w:r>
        <w:rPr>
          <w:i/>
        </w:rPr>
        <w:t xml:space="preserve">devices with RedCap won’t be able to enjoy seamless mobility on </w:t>
      </w:r>
      <w:r w:rsidR="00DA6E20">
        <w:rPr>
          <w:i/>
        </w:rPr>
        <w:t>HB/</w:t>
      </w:r>
      <w:r>
        <w:rPr>
          <w:i/>
        </w:rPr>
        <w:t xml:space="preserve">UHB (e.g., </w:t>
      </w:r>
      <w:r w:rsidR="00DA6E20">
        <w:rPr>
          <w:i/>
        </w:rPr>
        <w:t xml:space="preserve">2.4 GHz band, </w:t>
      </w:r>
      <w:r>
        <w:rPr>
          <w:i/>
        </w:rPr>
        <w:t>band n77 or US C-band) in FR1.</w:t>
      </w:r>
    </w:p>
    <w:p w14:paraId="6B1F8E55" w14:textId="77777777" w:rsidR="0082708E" w:rsidRDefault="001D756B">
      <w:pPr>
        <w:spacing w:after="240"/>
        <w:rPr>
          <w:b/>
          <w:i/>
        </w:rPr>
      </w:pPr>
      <w:r>
        <w:rPr>
          <w:b/>
          <w:i/>
        </w:rPr>
        <w:t>Observation #2:</w:t>
      </w:r>
      <w:r>
        <w:rPr>
          <w:i/>
        </w:rPr>
        <w:t xml:space="preserve"> Large repetition in UL slots will result in untenable latency and decreasing spectral efficiency.</w:t>
      </w:r>
      <w:r>
        <w:rPr>
          <w:b/>
          <w:i/>
        </w:rPr>
        <w:t xml:space="preserve"> </w:t>
      </w:r>
    </w:p>
    <w:p w14:paraId="34A44A17" w14:textId="2B95110B" w:rsidR="0082708E" w:rsidRDefault="001D756B">
      <w:pPr>
        <w:spacing w:after="240"/>
        <w:rPr>
          <w:i/>
        </w:rPr>
      </w:pPr>
      <w:r>
        <w:rPr>
          <w:b/>
          <w:i/>
        </w:rPr>
        <w:t xml:space="preserve">Observation #3: </w:t>
      </w:r>
      <w:r>
        <w:rPr>
          <w:i/>
        </w:rPr>
        <w:t xml:space="preserve">A single antenna design with a good efficiency across multiple bands (e.g., LB, MB, and </w:t>
      </w:r>
      <w:r w:rsidR="00DA6E20">
        <w:rPr>
          <w:i/>
        </w:rPr>
        <w:t>HB/</w:t>
      </w:r>
      <w:r>
        <w:rPr>
          <w:i/>
        </w:rPr>
        <w:t>UHB) in FR1 is extremely challenging for wearable devices with RedCap where space is limited.</w:t>
      </w:r>
    </w:p>
    <w:p w14:paraId="1DBB2DE6" w14:textId="20C99E34" w:rsidR="0082708E" w:rsidRDefault="001D756B">
      <w:pPr>
        <w:spacing w:after="240"/>
        <w:rPr>
          <w:i/>
        </w:rPr>
      </w:pPr>
      <w:r>
        <w:rPr>
          <w:b/>
          <w:i/>
        </w:rPr>
        <w:t xml:space="preserve">Observation #4: </w:t>
      </w:r>
      <w:r>
        <w:rPr>
          <w:i/>
        </w:rPr>
        <w:t xml:space="preserve">Existing coverage enhancement solutions by the repetitions </w:t>
      </w:r>
      <w:r w:rsidR="00DA6E20">
        <w:rPr>
          <w:i/>
        </w:rPr>
        <w:t>would reduce spectral efficiency for both eMBB and wearable devices.</w:t>
      </w:r>
      <w:r>
        <w:rPr>
          <w:i/>
        </w:rPr>
        <w:t xml:space="preserve"> </w:t>
      </w:r>
    </w:p>
    <w:p w14:paraId="30DC865B" w14:textId="267EA808" w:rsidR="0082708E" w:rsidRDefault="001D756B">
      <w:pPr>
        <w:spacing w:after="240"/>
        <w:rPr>
          <w:i/>
        </w:rPr>
      </w:pPr>
      <w:r>
        <w:rPr>
          <w:b/>
          <w:i/>
        </w:rPr>
        <w:t>Observation #5</w:t>
      </w:r>
      <w:r>
        <w:rPr>
          <w:i/>
        </w:rPr>
        <w:t xml:space="preserve">: Spectral efficiency degradation in wearable devices with RedCap might be </w:t>
      </w:r>
      <w:r w:rsidR="00DA6E20">
        <w:rPr>
          <w:i/>
        </w:rPr>
        <w:t xml:space="preserve">more </w:t>
      </w:r>
      <w:r>
        <w:rPr>
          <w:i/>
        </w:rPr>
        <w:t>critical in satisfactory user experience.</w:t>
      </w:r>
    </w:p>
    <w:p w14:paraId="171B1492" w14:textId="71C6EA82" w:rsidR="0082708E" w:rsidRDefault="001D756B">
      <w:pPr>
        <w:spacing w:after="240"/>
        <w:rPr>
          <w:b/>
          <w:i/>
        </w:rPr>
      </w:pPr>
      <w:r>
        <w:rPr>
          <w:b/>
          <w:i/>
        </w:rPr>
        <w:t xml:space="preserve">Proposal: </w:t>
      </w:r>
      <w:r>
        <w:rPr>
          <w:i/>
        </w:rPr>
        <w:t xml:space="preserve">It is necessary to have possible solutions without sacrificing the spectral efficiency where the user experience is critical in a higher frequency band (e.g., </w:t>
      </w:r>
      <w:r w:rsidR="00DA6E20">
        <w:rPr>
          <w:i/>
        </w:rPr>
        <w:t xml:space="preserve">n41, </w:t>
      </w:r>
      <w:r>
        <w:rPr>
          <w:i/>
        </w:rPr>
        <w:t>n77 or US C-band).</w:t>
      </w:r>
    </w:p>
    <w:p w14:paraId="04F0F1C5" w14:textId="77777777" w:rsidR="0082708E" w:rsidRDefault="001D756B">
      <w:pPr>
        <w:pStyle w:val="Heading1"/>
        <w:spacing w:before="120"/>
      </w:pPr>
      <w:r>
        <w:t>Reference</w:t>
      </w:r>
    </w:p>
    <w:p w14:paraId="2A77C60B" w14:textId="77777777" w:rsidR="0082708E" w:rsidRDefault="001D756B">
      <w:pPr>
        <w:pBdr>
          <w:top w:val="nil"/>
          <w:left w:val="nil"/>
          <w:bottom w:val="nil"/>
          <w:right w:val="nil"/>
          <w:between w:val="nil"/>
        </w:pBdr>
        <w:spacing w:after="60"/>
        <w:ind w:left="360" w:hanging="360"/>
        <w:rPr>
          <w:color w:val="000000"/>
        </w:rPr>
      </w:pPr>
      <w:bookmarkStart w:id="0" w:name="_heading=h.gjdgxs" w:colFirst="0" w:colLast="0"/>
      <w:bookmarkEnd w:id="0"/>
      <w:r>
        <w:rPr>
          <w:color w:val="000000"/>
        </w:rPr>
        <w:t xml:space="preserve">[1]  RP-200861, “Revised SID on NR coverage enhancements”, </w:t>
      </w:r>
      <w:r>
        <w:t xml:space="preserve">RAN#88-e, China Telecom </w:t>
      </w:r>
    </w:p>
    <w:p w14:paraId="4FF565AB" w14:textId="77777777" w:rsidR="0082708E" w:rsidRDefault="001D756B">
      <w:pPr>
        <w:pBdr>
          <w:top w:val="nil"/>
          <w:left w:val="nil"/>
          <w:bottom w:val="nil"/>
          <w:right w:val="nil"/>
          <w:between w:val="nil"/>
        </w:pBdr>
        <w:spacing w:after="60"/>
        <w:ind w:left="360" w:hanging="360"/>
        <w:rPr>
          <w:color w:val="000000"/>
        </w:rPr>
      </w:pPr>
      <w:r>
        <w:rPr>
          <w:color w:val="000000"/>
        </w:rPr>
        <w:lastRenderedPageBreak/>
        <w:t xml:space="preserve">[2]  RP-211566, “Revised WID on NR coverage enhancements”, </w:t>
      </w:r>
      <w:r>
        <w:t xml:space="preserve">RAN#92-e, </w:t>
      </w:r>
      <w:r>
        <w:rPr>
          <w:color w:val="000000"/>
        </w:rPr>
        <w:t>China Telecom</w:t>
      </w:r>
    </w:p>
    <w:p w14:paraId="144A2A83" w14:textId="77777777" w:rsidR="0082708E" w:rsidRDefault="001D756B">
      <w:pPr>
        <w:pBdr>
          <w:top w:val="nil"/>
          <w:left w:val="nil"/>
          <w:bottom w:val="nil"/>
          <w:right w:val="nil"/>
          <w:between w:val="nil"/>
        </w:pBdr>
        <w:spacing w:after="60"/>
        <w:ind w:left="360" w:hanging="360"/>
        <w:rPr>
          <w:color w:val="000000"/>
        </w:rPr>
      </w:pPr>
      <w:r>
        <w:rPr>
          <w:color w:val="000000"/>
        </w:rPr>
        <w:t xml:space="preserve">[3]  RP-213579, “New WID on Further NE coverage enhancements”, </w:t>
      </w:r>
      <w:r>
        <w:t xml:space="preserve">RAN#94-e, </w:t>
      </w:r>
      <w:r>
        <w:rPr>
          <w:color w:val="000000"/>
        </w:rPr>
        <w:t>China Telecom</w:t>
      </w:r>
    </w:p>
    <w:p w14:paraId="7C4DB1D0" w14:textId="77777777" w:rsidR="0082708E" w:rsidRDefault="001D756B">
      <w:pPr>
        <w:pBdr>
          <w:top w:val="nil"/>
          <w:left w:val="nil"/>
          <w:bottom w:val="nil"/>
          <w:right w:val="nil"/>
          <w:between w:val="nil"/>
        </w:pBdr>
        <w:spacing w:after="60"/>
        <w:ind w:left="360" w:hanging="360"/>
        <w:rPr>
          <w:color w:val="000000"/>
        </w:rPr>
      </w:pPr>
      <w:r>
        <w:rPr>
          <w:color w:val="000000"/>
        </w:rPr>
        <w:t xml:space="preserve">[4]  RP-213661, “New SID on Study on further NR RedCap UE complexity reduction”, </w:t>
      </w:r>
      <w:r>
        <w:t xml:space="preserve">RAN#94-e, </w:t>
      </w:r>
      <w:r>
        <w:rPr>
          <w:color w:val="000000"/>
        </w:rPr>
        <w:t>Ericsson</w:t>
      </w:r>
    </w:p>
    <w:p w14:paraId="4BAB6AAE" w14:textId="77777777" w:rsidR="0082708E" w:rsidRDefault="001D756B">
      <w:pPr>
        <w:pBdr>
          <w:top w:val="nil"/>
          <w:left w:val="nil"/>
          <w:bottom w:val="nil"/>
          <w:right w:val="nil"/>
          <w:between w:val="nil"/>
        </w:pBdr>
        <w:spacing w:after="60"/>
        <w:ind w:left="360" w:hanging="360"/>
        <w:rPr>
          <w:color w:val="000000"/>
        </w:rPr>
      </w:pPr>
      <w:r>
        <w:rPr>
          <w:color w:val="000000"/>
        </w:rPr>
        <w:t>[5]  3GPP TR 38.875-h00, Study on support of reduced capability NR devices (Release 17)</w:t>
      </w:r>
    </w:p>
    <w:p w14:paraId="0A286144" w14:textId="77777777" w:rsidR="0082708E" w:rsidRDefault="001D756B">
      <w:pPr>
        <w:pBdr>
          <w:top w:val="nil"/>
          <w:left w:val="nil"/>
          <w:bottom w:val="nil"/>
          <w:right w:val="nil"/>
          <w:between w:val="nil"/>
        </w:pBdr>
        <w:spacing w:after="60"/>
        <w:ind w:left="360" w:hanging="360"/>
      </w:pPr>
      <w:r>
        <w:t>[6]</w:t>
      </w:r>
      <w:r>
        <w:tab/>
        <w:t>R1-2009293, “FL summary on RedCap evaluation results”, RAN1#103-e, Moderator (Ericsson, Apple, Qualcomm)</w:t>
      </w:r>
    </w:p>
    <w:p w14:paraId="4A282F31" w14:textId="77777777" w:rsidR="0082708E" w:rsidRDefault="001D756B">
      <w:pPr>
        <w:pBdr>
          <w:top w:val="nil"/>
          <w:left w:val="nil"/>
          <w:bottom w:val="nil"/>
          <w:right w:val="nil"/>
          <w:between w:val="nil"/>
        </w:pBdr>
        <w:spacing w:after="60"/>
        <w:ind w:left="360" w:hanging="360"/>
      </w:pPr>
      <w:r>
        <w:t>[7]</w:t>
      </w:r>
      <w:r>
        <w:tab/>
        <w:t>Global Wearable Technology Market Trends and Analysis Report 2021 - 2028, January 2022, RearchAndMarkets.com</w:t>
      </w:r>
    </w:p>
    <w:p w14:paraId="02A73B34" w14:textId="77777777" w:rsidR="0082708E" w:rsidRDefault="0082708E">
      <w:pPr>
        <w:pBdr>
          <w:top w:val="nil"/>
          <w:left w:val="nil"/>
          <w:bottom w:val="nil"/>
          <w:right w:val="nil"/>
          <w:between w:val="nil"/>
        </w:pBdr>
        <w:spacing w:after="60"/>
        <w:ind w:left="360" w:hanging="360"/>
      </w:pPr>
    </w:p>
    <w:p w14:paraId="6496E98B" w14:textId="77777777" w:rsidR="0082708E" w:rsidRDefault="0082708E">
      <w:pPr>
        <w:pBdr>
          <w:top w:val="nil"/>
          <w:left w:val="nil"/>
          <w:bottom w:val="nil"/>
          <w:right w:val="nil"/>
          <w:between w:val="nil"/>
        </w:pBdr>
        <w:spacing w:after="60"/>
        <w:ind w:left="360" w:hanging="360"/>
        <w:rPr>
          <w:color w:val="000000"/>
        </w:rPr>
      </w:pPr>
    </w:p>
    <w:sectPr w:rsidR="0082708E">
      <w:footerReference w:type="default" r:id="rId9"/>
      <w:pgSz w:w="12240" w:h="15840"/>
      <w:pgMar w:top="1440" w:right="1467" w:bottom="1440"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8F35B" w14:textId="77777777" w:rsidR="006578FA" w:rsidRDefault="006578FA">
      <w:pPr>
        <w:spacing w:after="0" w:line="240" w:lineRule="auto"/>
      </w:pPr>
      <w:r>
        <w:separator/>
      </w:r>
    </w:p>
  </w:endnote>
  <w:endnote w:type="continuationSeparator" w:id="0">
    <w:p w14:paraId="34312567" w14:textId="77777777" w:rsidR="006578FA" w:rsidRDefault="006578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CAEB8" w14:textId="77777777" w:rsidR="0082708E" w:rsidRDefault="001D756B">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Pr>
        <w:color w:val="000000"/>
      </w:rPr>
      <w:fldChar w:fldCharType="separate"/>
    </w:r>
    <w:r w:rsidR="00D937DE">
      <w:rPr>
        <w:noProof/>
        <w:color w:val="000000"/>
      </w:rPr>
      <w:t>1</w:t>
    </w:r>
    <w:r>
      <w:rPr>
        <w:color w:val="000000"/>
      </w:rPr>
      <w:fldChar w:fldCharType="end"/>
    </w:r>
  </w:p>
  <w:p w14:paraId="6BD7B902" w14:textId="77777777" w:rsidR="0082708E" w:rsidRDefault="0082708E">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E1CA6" w14:textId="77777777" w:rsidR="006578FA" w:rsidRDefault="006578FA">
      <w:pPr>
        <w:spacing w:after="0" w:line="240" w:lineRule="auto"/>
      </w:pPr>
      <w:r>
        <w:separator/>
      </w:r>
    </w:p>
  </w:footnote>
  <w:footnote w:type="continuationSeparator" w:id="0">
    <w:p w14:paraId="2E746040" w14:textId="77777777" w:rsidR="006578FA" w:rsidRDefault="006578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D2422E"/>
    <w:multiLevelType w:val="multilevel"/>
    <w:tmpl w:val="21DA1A7E"/>
    <w:lvl w:ilvl="0">
      <w:start w:val="1"/>
      <w:numFmt w:val="decimal"/>
      <w:pStyle w:val="Heading1"/>
      <w:lvlText w:val="%1."/>
      <w:lvlJc w:val="left"/>
      <w:pPr>
        <w:ind w:left="425" w:hanging="425"/>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529C6F19"/>
    <w:multiLevelType w:val="multilevel"/>
    <w:tmpl w:val="E1DEA69A"/>
    <w:lvl w:ilvl="0">
      <w:start w:val="1"/>
      <w:numFmt w:val="decimal"/>
      <w:pStyle w:val="Reference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43730648">
    <w:abstractNumId w:val="0"/>
  </w:num>
  <w:num w:numId="2" w16cid:durableId="20176818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08E"/>
    <w:rsid w:val="000571D8"/>
    <w:rsid w:val="00066424"/>
    <w:rsid w:val="001149FF"/>
    <w:rsid w:val="001625C6"/>
    <w:rsid w:val="001D756B"/>
    <w:rsid w:val="001E0C47"/>
    <w:rsid w:val="002121D0"/>
    <w:rsid w:val="002525FD"/>
    <w:rsid w:val="002751E2"/>
    <w:rsid w:val="002C0E6D"/>
    <w:rsid w:val="002D6DB4"/>
    <w:rsid w:val="002F73AF"/>
    <w:rsid w:val="00316322"/>
    <w:rsid w:val="003A227C"/>
    <w:rsid w:val="003A7A69"/>
    <w:rsid w:val="004604DE"/>
    <w:rsid w:val="005500D7"/>
    <w:rsid w:val="005E19DD"/>
    <w:rsid w:val="005F29A5"/>
    <w:rsid w:val="006578FA"/>
    <w:rsid w:val="0069426F"/>
    <w:rsid w:val="006A6FE0"/>
    <w:rsid w:val="0082708E"/>
    <w:rsid w:val="00B02BE6"/>
    <w:rsid w:val="00CC2C4D"/>
    <w:rsid w:val="00D42F11"/>
    <w:rsid w:val="00D937DE"/>
    <w:rsid w:val="00DA6E20"/>
    <w:rsid w:val="00E83B75"/>
    <w:rsid w:val="00EF4592"/>
    <w:rsid w:val="00FF1A4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1F6A0"/>
  <w15:docId w15:val="{BFDDF91A-BD35-4BE0-AF44-018C9F198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pPr>
        <w:spacing w:after="12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napToGrid w:val="0"/>
      <w:textAlignment w:val="baseline"/>
    </w:pPr>
    <w:rPr>
      <w:lang w:eastAsia="en-US"/>
    </w:rPr>
  </w:style>
  <w:style w:type="paragraph" w:styleId="Heading1">
    <w:name w:val="heading 1"/>
    <w:basedOn w:val="Normal"/>
    <w:next w:val="Normal"/>
    <w:link w:val="Heading1Char"/>
    <w:uiPriority w:val="9"/>
    <w:qFormat/>
    <w:pPr>
      <w:keepNext/>
      <w:keepLines/>
      <w:numPr>
        <w:numId w:val="1"/>
      </w:numPr>
      <w:pBdr>
        <w:top w:val="single" w:sz="12" w:space="3" w:color="auto"/>
      </w:pBdr>
      <w:tabs>
        <w:tab w:val="left" w:pos="432"/>
      </w:tabs>
      <w:spacing w:beforeLines="50"/>
      <w:outlineLvl w:val="0"/>
    </w:pPr>
    <w:rPr>
      <w:rFonts w:ascii="Arial" w:eastAsia="SimSun" w:hAnsi="Arial"/>
      <w:sz w:val="28"/>
      <w:szCs w:val="22"/>
      <w:lang w:eastAsia="zh-CN"/>
    </w:rPr>
  </w:style>
  <w:style w:type="paragraph" w:styleId="Heading2">
    <w:name w:val="heading 2"/>
    <w:basedOn w:val="Heading1"/>
    <w:next w:val="Normal"/>
    <w:uiPriority w:val="9"/>
    <w:semiHidden/>
    <w:unhideWhenUsed/>
    <w:qFormat/>
    <w:pPr>
      <w:pBdr>
        <w:top w:val="none" w:sz="0" w:space="3" w:color="auto"/>
        <w:left w:val="none" w:sz="0" w:space="4" w:color="auto"/>
        <w:bottom w:val="none" w:sz="0" w:space="1" w:color="auto"/>
        <w:right w:val="none" w:sz="0" w:space="4" w:color="auto"/>
      </w:pBdr>
      <w:tabs>
        <w:tab w:val="clear" w:pos="432"/>
        <w:tab w:val="left" w:pos="576"/>
      </w:tabs>
      <w:spacing w:before="50" w:after="240"/>
      <w:ind w:left="578" w:hanging="578"/>
      <w:outlineLvl w:val="1"/>
    </w:pPr>
    <w:rPr>
      <w:rFonts w:cs="Arial"/>
      <w:bCs/>
      <w:iCs/>
      <w:sz w:val="24"/>
      <w:szCs w:val="28"/>
      <w:lang w:val="en-US"/>
    </w:rPr>
  </w:style>
  <w:style w:type="paragraph" w:styleId="Heading3">
    <w:name w:val="heading 3"/>
    <w:basedOn w:val="Heading2"/>
    <w:next w:val="Normal"/>
    <w:uiPriority w:val="9"/>
    <w:semiHidden/>
    <w:unhideWhenUsed/>
    <w:qFormat/>
    <w:pPr>
      <w:tabs>
        <w:tab w:val="clear" w:pos="576"/>
        <w:tab w:val="left" w:pos="720"/>
      </w:tabs>
      <w:spacing w:after="60"/>
      <w:ind w:left="720" w:hanging="720"/>
      <w:outlineLvl w:val="2"/>
    </w:pPr>
    <w:rPr>
      <w:b/>
      <w:szCs w:val="26"/>
    </w:rPr>
  </w:style>
  <w:style w:type="paragraph" w:styleId="Heading4">
    <w:name w:val="heading 4"/>
    <w:basedOn w:val="Normal"/>
    <w:next w:val="Normal"/>
    <w:link w:val="Heading4Char"/>
    <w:uiPriority w:val="9"/>
    <w:semiHidden/>
    <w:unhideWhenUsed/>
    <w:qFormat/>
    <w:pPr>
      <w:keepNext/>
      <w:tabs>
        <w:tab w:val="left" w:pos="864"/>
      </w:tabs>
      <w:spacing w:before="240" w:after="60"/>
      <w:ind w:left="864" w:hanging="864"/>
      <w:outlineLvl w:val="3"/>
    </w:pPr>
    <w:rPr>
      <w:b/>
      <w:bCs/>
      <w:sz w:val="28"/>
      <w:szCs w:val="28"/>
    </w:rPr>
  </w:style>
  <w:style w:type="paragraph" w:styleId="Heading5">
    <w:name w:val="heading 5"/>
    <w:basedOn w:val="Normal"/>
    <w:next w:val="Normal"/>
    <w:uiPriority w:val="9"/>
    <w:semiHidden/>
    <w:unhideWhenUsed/>
    <w:qFormat/>
    <w:pPr>
      <w:tabs>
        <w:tab w:val="left" w:pos="1008"/>
      </w:tabs>
      <w:spacing w:before="240" w:after="60"/>
      <w:ind w:left="1008" w:hanging="1008"/>
      <w:outlineLvl w:val="4"/>
    </w:pPr>
    <w:rPr>
      <w:b/>
      <w:bCs/>
      <w:i/>
      <w:iCs/>
      <w:sz w:val="26"/>
      <w:szCs w:val="26"/>
    </w:rPr>
  </w:style>
  <w:style w:type="paragraph" w:styleId="Heading6">
    <w:name w:val="heading 6"/>
    <w:basedOn w:val="Normal"/>
    <w:next w:val="Normal"/>
    <w:uiPriority w:val="9"/>
    <w:semiHidden/>
    <w:unhideWhenUsed/>
    <w:qFormat/>
    <w:pPr>
      <w:tabs>
        <w:tab w:val="left" w:pos="1152"/>
      </w:tabs>
      <w:spacing w:before="240" w:after="60"/>
      <w:ind w:left="1152" w:hanging="1152"/>
      <w:outlineLvl w:val="5"/>
    </w:pPr>
    <w:rPr>
      <w:b/>
      <w:bCs/>
      <w:sz w:val="22"/>
      <w:szCs w:val="22"/>
    </w:rPr>
  </w:style>
  <w:style w:type="paragraph" w:styleId="Heading7">
    <w:name w:val="heading 7"/>
    <w:basedOn w:val="Normal"/>
    <w:next w:val="Normal"/>
    <w:qFormat/>
    <w:pPr>
      <w:tabs>
        <w:tab w:val="left" w:pos="1296"/>
      </w:tabs>
      <w:spacing w:before="240" w:after="60"/>
      <w:ind w:left="1296" w:hanging="1296"/>
      <w:outlineLvl w:val="6"/>
    </w:pPr>
    <w:rPr>
      <w:sz w:val="24"/>
      <w:szCs w:val="24"/>
    </w:rPr>
  </w:style>
  <w:style w:type="paragraph" w:styleId="Heading8">
    <w:name w:val="heading 8"/>
    <w:basedOn w:val="Normal"/>
    <w:next w:val="NormalIndent"/>
    <w:link w:val="Heading8Char"/>
    <w:qFormat/>
    <w:pPr>
      <w:keepNext/>
      <w:keepLines/>
      <w:widowControl w:val="0"/>
      <w:tabs>
        <w:tab w:val="left" w:pos="1440"/>
      </w:tabs>
      <w:overflowPunct/>
      <w:autoSpaceDE/>
      <w:autoSpaceDN/>
      <w:adjustRightInd/>
      <w:spacing w:before="120"/>
      <w:ind w:left="1440" w:hanging="1440"/>
      <w:textAlignment w:val="auto"/>
      <w:outlineLvl w:val="7"/>
    </w:pPr>
    <w:rPr>
      <w:rFonts w:ascii="Arial" w:eastAsia="SimSun" w:hAnsi="Arial"/>
      <w:kern w:val="2"/>
      <w:sz w:val="21"/>
      <w:szCs w:val="24"/>
      <w:lang w:val="en-US" w:eastAsia="zh-CN"/>
    </w:rPr>
  </w:style>
  <w:style w:type="paragraph" w:styleId="Heading9">
    <w:name w:val="heading 9"/>
    <w:basedOn w:val="Normal"/>
    <w:next w:val="NormalIndent"/>
    <w:link w:val="Heading9Char"/>
    <w:qFormat/>
    <w:pPr>
      <w:keepNext/>
      <w:keepLines/>
      <w:widowControl w:val="0"/>
      <w:tabs>
        <w:tab w:val="left" w:pos="1584"/>
      </w:tabs>
      <w:overflowPunct/>
      <w:autoSpaceDE/>
      <w:autoSpaceDN/>
      <w:adjustRightInd/>
      <w:spacing w:before="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NormalIndent">
    <w:name w:val="Normal Indent"/>
    <w:basedOn w:val="Normal"/>
    <w:uiPriority w:val="99"/>
    <w:unhideWhenUsed/>
    <w:qFormat/>
    <w:pPr>
      <w:ind w:firstLineChars="200" w:firstLine="420"/>
    </w:pPr>
  </w:style>
  <w:style w:type="paragraph" w:styleId="ListNumber">
    <w:name w:val="List Number"/>
    <w:basedOn w:val="Normal"/>
    <w:qFormat/>
    <w:pPr>
      <w:widowControl w:val="0"/>
      <w:overflowPunct/>
      <w:autoSpaceDE/>
      <w:autoSpaceDN/>
      <w:adjustRightInd/>
      <w:spacing w:beforeLines="100" w:after="0" w:line="460" w:lineRule="exact"/>
      <w:ind w:firstLine="567"/>
    </w:pPr>
    <w:rPr>
      <w:rFonts w:eastAsia="KaiTi_GB2312"/>
      <w:snapToGrid w:val="0"/>
      <w:sz w:val="28"/>
      <w:szCs w:val="28"/>
      <w:lang w:val="en-US" w:eastAsia="zh-CN"/>
    </w:rPr>
  </w:style>
  <w:style w:type="paragraph" w:styleId="Caption">
    <w:name w:val="caption"/>
    <w:basedOn w:val="Normal"/>
    <w:next w:val="Normal"/>
    <w:link w:val="CaptionChar"/>
    <w:qFormat/>
    <w:rPr>
      <w:b/>
      <w:bCs/>
    </w:rPr>
  </w:style>
  <w:style w:type="paragraph" w:styleId="ListBullet">
    <w:name w:val="List Bullet"/>
    <w:basedOn w:val="BodyText"/>
    <w:qFormat/>
    <w:pPr>
      <w:tabs>
        <w:tab w:val="left" w:pos="510"/>
      </w:tabs>
      <w:overflowPunct w:val="0"/>
      <w:autoSpaceDE w:val="0"/>
      <w:autoSpaceDN w:val="0"/>
      <w:adjustRightInd w:val="0"/>
      <w:ind w:left="510" w:hanging="397"/>
      <w:textAlignment w:val="baseline"/>
    </w:pPr>
    <w:rPr>
      <w:rFonts w:ascii="Arial" w:eastAsia="Times New Roman" w:hAnsi="Arial"/>
      <w:lang w:eastAsia="zh-CN"/>
    </w:rPr>
  </w:style>
  <w:style w:type="paragraph" w:styleId="BodyText">
    <w:name w:val="Body Text"/>
    <w:basedOn w:val="Normal"/>
    <w:link w:val="BodyTextChar"/>
    <w:qFormat/>
    <w:pPr>
      <w:overflowPunct/>
      <w:autoSpaceDE/>
      <w:autoSpaceDN/>
      <w:adjustRightInd/>
      <w:textAlignment w:val="auto"/>
    </w:pPr>
    <w:rPr>
      <w:rFonts w:eastAsia="MS Mincho"/>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nhideWhenUsed/>
    <w:qFormat/>
  </w:style>
  <w:style w:type="paragraph" w:styleId="BodyTextIndent">
    <w:name w:val="Body Text Indent"/>
    <w:basedOn w:val="Normal"/>
    <w:qFormat/>
    <w:pPr>
      <w:ind w:left="283"/>
    </w:pPr>
  </w:style>
  <w:style w:type="paragraph" w:styleId="List2">
    <w:name w:val="List 2"/>
    <w:basedOn w:val="List"/>
    <w:qFormat/>
    <w:pPr>
      <w:ind w:left="851"/>
    </w:pPr>
  </w:style>
  <w:style w:type="paragraph" w:styleId="List">
    <w:name w:val="List"/>
    <w:basedOn w:val="Normal"/>
    <w:qFormat/>
    <w:pPr>
      <w:ind w:left="283" w:hanging="283"/>
    </w:pPr>
  </w:style>
  <w:style w:type="paragraph" w:styleId="BalloonText">
    <w:name w:val="Balloon Text"/>
    <w:basedOn w:val="Normal"/>
    <w:link w:val="BalloonTextChar"/>
    <w:uiPriority w:val="99"/>
    <w:unhideWhenUsed/>
    <w:qFormat/>
    <w:pPr>
      <w:spacing w:after="0"/>
    </w:pPr>
    <w:rPr>
      <w:rFonts w:ascii="Tahoma" w:hAnsi="Tahoma" w:cs="Tahoma"/>
      <w:sz w:val="16"/>
      <w:szCs w:val="16"/>
    </w:rPr>
  </w:style>
  <w:style w:type="paragraph" w:styleId="Footer">
    <w:name w:val="footer"/>
    <w:basedOn w:val="Normal"/>
    <w:link w:val="FooterChar"/>
    <w:uiPriority w:val="99"/>
    <w:unhideWhenUsed/>
    <w:qFormat/>
    <w:pPr>
      <w:tabs>
        <w:tab w:val="center" w:pos="4513"/>
        <w:tab w:val="right" w:pos="9026"/>
      </w:tabs>
    </w:pPr>
  </w:style>
  <w:style w:type="paragraph" w:styleId="Header">
    <w:name w:val="header"/>
    <w:link w:val="HeaderChar"/>
    <w:qFormat/>
    <w:pPr>
      <w:widowControl w:val="0"/>
      <w:overflowPunct w:val="0"/>
      <w:autoSpaceDE w:val="0"/>
      <w:autoSpaceDN w:val="0"/>
      <w:adjustRightInd w:val="0"/>
      <w:spacing w:after="200" w:line="276" w:lineRule="auto"/>
      <w:textAlignment w:val="baseline"/>
    </w:pPr>
    <w:rPr>
      <w:rFonts w:ascii="Arial" w:hAnsi="Arial"/>
      <w:b/>
      <w:sz w:val="18"/>
      <w:lang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FootnoteText">
    <w:name w:val="footnote text"/>
    <w:basedOn w:val="Normal"/>
    <w:uiPriority w:val="99"/>
    <w:unhideWhenUsed/>
    <w:qFormat/>
    <w:pPr>
      <w:jc w:val="left"/>
    </w:pPr>
    <w:rPr>
      <w:sz w:val="18"/>
    </w:rPr>
  </w:style>
  <w:style w:type="paragraph" w:styleId="NormalWeb">
    <w:name w:val="Normal (Web)"/>
    <w:basedOn w:val="Normal"/>
    <w:uiPriority w:val="99"/>
    <w:qFormat/>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en-GB"/>
    </w:rPr>
  </w:style>
  <w:style w:type="character" w:customStyle="1" w:styleId="CaptionChar">
    <w:name w:val="Caption Char"/>
    <w:basedOn w:val="DefaultParagraphFont"/>
    <w:link w:val="Caption"/>
    <w:qFormat/>
    <w:rPr>
      <w:b/>
      <w:bCs/>
      <w:lang w:val="en-GB" w:eastAsia="en-US" w:bidi="ar-SA"/>
    </w:rPr>
  </w:style>
  <w:style w:type="character" w:customStyle="1" w:styleId="B1">
    <w:name w:val="B1 (文字)"/>
    <w:basedOn w:val="DefaultParagraphFont"/>
    <w:qFormat/>
    <w:rPr>
      <w:rFonts w:eastAsia="Times New Roman"/>
    </w:rPr>
  </w:style>
  <w:style w:type="character" w:customStyle="1" w:styleId="d2035Char">
    <w:name w:val="样式 正文缩进d + 首行缩进:  2 字符 段前: 0.35 行 Char"/>
    <w:basedOn w:val="DefaultParagraphFont"/>
    <w:link w:val="d2035"/>
    <w:qFormat/>
    <w:locked/>
    <w:rPr>
      <w:rFonts w:ascii="Times New Roman" w:eastAsia="KaiTi_GB2312" w:hAnsi="Times New Roman" w:cs="SimSun"/>
      <w:snapToGrid w:val="0"/>
      <w:sz w:val="28"/>
    </w:rPr>
  </w:style>
  <w:style w:type="paragraph" w:customStyle="1" w:styleId="d2035">
    <w:name w:val="样式 正文缩进d + 首行缩进:  2 字符 段前: 0.35 行"/>
    <w:basedOn w:val="NormalIndent"/>
    <w:link w:val="d2035Char"/>
    <w:qFormat/>
    <w:pPr>
      <w:widowControl w:val="0"/>
      <w:overflowPunct/>
      <w:autoSpaceDE/>
      <w:autoSpaceDN/>
      <w:spacing w:beforeLines="35" w:after="0" w:line="460" w:lineRule="exact"/>
      <w:ind w:firstLine="560"/>
    </w:pPr>
    <w:rPr>
      <w:rFonts w:eastAsia="KaiTi_GB2312" w:cs="SimSun"/>
      <w:snapToGrid w:val="0"/>
      <w:sz w:val="28"/>
      <w:lang w:val="en-US" w:eastAsia="zh-CN"/>
    </w:rPr>
  </w:style>
  <w:style w:type="character" w:customStyle="1" w:styleId="Heading1Char">
    <w:name w:val="Heading 1 Char"/>
    <w:basedOn w:val="DefaultParagraphFont"/>
    <w:link w:val="Heading1"/>
    <w:qFormat/>
    <w:rPr>
      <w:rFonts w:ascii="Arial" w:eastAsia="SimSun" w:hAnsi="Arial"/>
      <w:sz w:val="28"/>
      <w:szCs w:val="22"/>
      <w:lang w:val="en-GB"/>
    </w:rPr>
  </w:style>
  <w:style w:type="character" w:customStyle="1" w:styleId="Heading4Char">
    <w:name w:val="Heading 4 Char"/>
    <w:basedOn w:val="DefaultParagraphFont"/>
    <w:link w:val="Heading4"/>
    <w:qFormat/>
    <w:rPr>
      <w:rFonts w:ascii="Times New Roman" w:eastAsia="Times New Roman" w:hAnsi="Times New Roman"/>
      <w:b/>
      <w:bCs/>
      <w:sz w:val="28"/>
      <w:szCs w:val="28"/>
      <w:lang w:val="en-GB" w:eastAsia="en-US"/>
    </w:rPr>
  </w:style>
  <w:style w:type="character" w:customStyle="1" w:styleId="CommentTextChar">
    <w:name w:val="Comment Text Char"/>
    <w:basedOn w:val="DefaultParagraphFont"/>
    <w:link w:val="CommentText"/>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jc w:val="center"/>
    </w:pPr>
    <w:rPr>
      <w:rFonts w:ascii="Arial" w:hAnsi="Arial"/>
      <w:b/>
      <w:lang w:eastAsia="en-GB"/>
    </w:rPr>
  </w:style>
  <w:style w:type="character" w:customStyle="1" w:styleId="Heading8Char">
    <w:name w:val="Heading 8 Char"/>
    <w:basedOn w:val="DefaultParagraphFont"/>
    <w:link w:val="Heading8"/>
    <w:qFormat/>
    <w:rPr>
      <w:rFonts w:ascii="Arial" w:eastAsia="SimSun" w:hAnsi="Arial"/>
      <w:kern w:val="2"/>
      <w:sz w:val="21"/>
      <w:szCs w:val="24"/>
    </w:rPr>
  </w:style>
  <w:style w:type="character" w:customStyle="1" w:styleId="TALChar">
    <w:name w:val="TAL Char"/>
    <w:basedOn w:val="DefaultParagraphFont"/>
    <w:link w:val="TAL"/>
    <w:qFormat/>
    <w:rPr>
      <w:rFonts w:ascii="Arial" w:hAnsi="Arial"/>
      <w:sz w:val="18"/>
      <w:lang w:val="en-GB" w:eastAsia="ja-JP" w:bidi="ar-SA"/>
    </w:rPr>
  </w:style>
  <w:style w:type="paragraph" w:customStyle="1" w:styleId="TAL">
    <w:name w:val="TAL"/>
    <w:basedOn w:val="Normal"/>
    <w:link w:val="TALChar"/>
    <w:qFormat/>
    <w:pPr>
      <w:keepNext/>
      <w:keepLines/>
      <w:spacing w:after="0"/>
    </w:pPr>
    <w:rPr>
      <w:rFonts w:ascii="Arial" w:hAnsi="Arial"/>
      <w:sz w:val="18"/>
      <w:lang w:eastAsia="ja-JP"/>
    </w:rPr>
  </w:style>
  <w:style w:type="character" w:customStyle="1" w:styleId="TextCar">
    <w:name w:val="Text Car"/>
    <w:basedOn w:val="DefaultParagraphFont"/>
    <w:link w:val="Text"/>
    <w:qFormat/>
    <w:rPr>
      <w:rFonts w:ascii="Arial" w:hAnsi="Arial"/>
      <w:lang w:val="en-US" w:eastAsia="en-US" w:bidi="ar-SA"/>
    </w:rPr>
  </w:style>
  <w:style w:type="paragraph" w:customStyle="1" w:styleId="Text">
    <w:name w:val="Text"/>
    <w:basedOn w:val="Normal"/>
    <w:link w:val="TextCar"/>
    <w:qFormat/>
    <w:pPr>
      <w:tabs>
        <w:tab w:val="left" w:pos="2268"/>
        <w:tab w:val="left" w:pos="4678"/>
      </w:tabs>
      <w:overflowPunct/>
      <w:autoSpaceDE/>
      <w:autoSpaceDN/>
      <w:adjustRightInd/>
      <w:ind w:left="1418"/>
      <w:textAlignment w:val="auto"/>
    </w:pPr>
    <w:rPr>
      <w:rFonts w:ascii="Arial" w:hAnsi="Arial"/>
      <w:lang w:val="en-US"/>
    </w:rPr>
  </w:style>
  <w:style w:type="character" w:customStyle="1" w:styleId="HeaderChar">
    <w:name w:val="Header Char"/>
    <w:basedOn w:val="DefaultParagraphFont"/>
    <w:link w:val="Header"/>
    <w:qFormat/>
    <w:rPr>
      <w:rFonts w:ascii="Arial" w:eastAsia="Times New Roman" w:hAnsi="Arial"/>
      <w:b/>
      <w:sz w:val="18"/>
      <w:lang w:val="en-US" w:eastAsia="en-US" w:bidi="ar-SA"/>
    </w:rPr>
  </w:style>
  <w:style w:type="character" w:customStyle="1" w:styleId="Heading9Char">
    <w:name w:val="Heading 9 Char"/>
    <w:basedOn w:val="DefaultParagraphFont"/>
    <w:link w:val="Heading9"/>
    <w:qFormat/>
    <w:rPr>
      <w:rFonts w:ascii="Arial" w:eastAsia="SimSun" w:hAnsi="Arial"/>
      <w:kern w:val="2"/>
      <w:sz w:val="21"/>
      <w:szCs w:val="24"/>
    </w:rPr>
  </w:style>
  <w:style w:type="character" w:customStyle="1" w:styleId="Doc-titleChar">
    <w:name w:val="Doc-title Char"/>
    <w:basedOn w:val="DefaultParagraphFont"/>
    <w:link w:val="Doc-title"/>
    <w:qFormat/>
    <w:rPr>
      <w:rFonts w:ascii="Arial" w:eastAsia="MS Mincho" w:hAnsi="Arial"/>
      <w:szCs w:val="24"/>
      <w:lang w:val="en-GB" w:eastAsia="en-GB" w:bidi="ar-SA"/>
    </w:r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rPr>
  </w:style>
  <w:style w:type="character" w:customStyle="1" w:styleId="FooterChar">
    <w:name w:val="Footer Char"/>
    <w:basedOn w:val="DefaultParagraphFont"/>
    <w:link w:val="Footer"/>
    <w:uiPriority w:val="99"/>
    <w:qFormat/>
    <w:rPr>
      <w:rFonts w:ascii="Times New Roman" w:eastAsia="Times New Roman" w:hAnsi="Times New Roman"/>
      <w:lang w:val="en-GB" w:eastAsia="en-US"/>
    </w:rPr>
  </w:style>
  <w:style w:type="character" w:customStyle="1" w:styleId="Doc-text2Char">
    <w:name w:val="Doc-text2 Char"/>
    <w:basedOn w:val="DefaultParagraphFont"/>
    <w:link w:val="Doc-text2"/>
    <w:qFormat/>
    <w:rPr>
      <w:rFonts w:ascii="Arial" w:eastAsia="MS Mincho" w:hAnsi="Arial"/>
      <w:szCs w:val="24"/>
      <w:lang w:val="en-GB" w:eastAsia="en-GB" w:bidi="ar-SA"/>
    </w:rPr>
  </w:style>
  <w:style w:type="character" w:customStyle="1" w:styleId="B1Char1">
    <w:name w:val="B1 Char1"/>
    <w:basedOn w:val="DefaultParagraphFont"/>
    <w:link w:val="B10"/>
    <w:qFormat/>
    <w:rPr>
      <w:rFonts w:eastAsia="MS Mincho"/>
      <w:lang w:val="en-GB" w:eastAsia="en-US" w:bidi="ar-SA"/>
    </w:rPr>
  </w:style>
  <w:style w:type="paragraph" w:customStyle="1" w:styleId="B10">
    <w:name w:val="B1"/>
    <w:basedOn w:val="List"/>
    <w:link w:val="B1Char1"/>
    <w:qFormat/>
    <w:pPr>
      <w:overflowPunct/>
      <w:autoSpaceDE/>
      <w:autoSpaceDN/>
      <w:adjustRightInd/>
      <w:ind w:left="568" w:hanging="284"/>
      <w:textAlignment w:val="auto"/>
    </w:pPr>
    <w:rPr>
      <w:rFonts w:eastAsia="MS Mincho"/>
    </w:rPr>
  </w:style>
  <w:style w:type="character" w:customStyle="1" w:styleId="NOChar">
    <w:name w:val="NO Char"/>
    <w:basedOn w:val="DefaultParagraphFont"/>
    <w:link w:val="NO"/>
    <w:qFormat/>
    <w:rPr>
      <w:rFonts w:eastAsia="MS Mincho"/>
      <w:lang w:val="en-GB" w:eastAsia="en-US" w:bidi="ar-SA"/>
    </w:rPr>
  </w:style>
  <w:style w:type="paragraph" w:customStyle="1" w:styleId="NO">
    <w:name w:val="NO"/>
    <w:basedOn w:val="Normal"/>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DefaultParagraphFont"/>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DefaultParagraphFont"/>
    <w:qFormat/>
  </w:style>
  <w:style w:type="character" w:customStyle="1" w:styleId="B2Char1">
    <w:name w:val="B2 Char1"/>
    <w:basedOn w:val="CommentTextChar"/>
    <w:link w:val="B2"/>
    <w:qFormat/>
    <w:rPr>
      <w:rFonts w:ascii="Times New Roman" w:eastAsia="Times New Roman" w:hAnsi="Times New Roman" w:cs="Times New Roman"/>
      <w:sz w:val="20"/>
      <w:szCs w:val="20"/>
      <w:lang w:val="en-GB" w:eastAsia="en-US" w:bidi="ar-SA"/>
    </w:rPr>
  </w:style>
  <w:style w:type="paragraph" w:customStyle="1" w:styleId="B2">
    <w:name w:val="B2"/>
    <w:basedOn w:val="List2"/>
    <w:link w:val="B2Char1"/>
    <w:qFormat/>
    <w:pPr>
      <w:overflowPunct/>
      <w:autoSpaceDE/>
      <w:autoSpaceDN/>
      <w:adjustRightInd/>
      <w:ind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DefaultParagraphFont"/>
    <w:qFormat/>
    <w:rPr>
      <w:lang w:val="en-GB" w:eastAsia="en-US" w:bidi="ar-SA"/>
    </w:rPr>
  </w:style>
  <w:style w:type="character" w:customStyle="1" w:styleId="B1Char">
    <w:name w:val="B1 Char"/>
    <w:basedOn w:val="DefaultParagraphFont"/>
    <w:qFormat/>
    <w:rPr>
      <w:rFonts w:ascii="Times New Roman" w:hAnsi="Times New Roman"/>
      <w:lang w:val="en-GB" w:eastAsia="en-US"/>
    </w:rPr>
  </w:style>
  <w:style w:type="character" w:customStyle="1" w:styleId="PLChar">
    <w:name w:val="PL Char"/>
    <w:basedOn w:val="DefaultParagraphFont"/>
    <w:link w:val="PL"/>
    <w:qFormat/>
    <w:rPr>
      <w:rFonts w:ascii="Courier New" w:eastAsia="SimSun"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
    <w:name w:val="占位符文本1"/>
    <w:basedOn w:val="DefaultParagraphFont"/>
    <w:uiPriority w:val="99"/>
    <w:semiHidden/>
    <w:qFormat/>
    <w:rPr>
      <w:color w:val="808080"/>
    </w:rPr>
  </w:style>
  <w:style w:type="character" w:customStyle="1" w:styleId="MTEquationSection">
    <w:name w:val="MTEquationSection"/>
    <w:basedOn w:val="DefaultParagraphFont"/>
    <w:qFormat/>
    <w:rPr>
      <w:rFonts w:cs="Arial"/>
      <w:bCs/>
      <w:vanish/>
      <w:color w:val="FF0000"/>
      <w:sz w:val="28"/>
      <w:szCs w:val="28"/>
      <w:lang w:eastAsia="zh-CN"/>
    </w:rPr>
  </w:style>
  <w:style w:type="character" w:customStyle="1" w:styleId="MTDisplayEquationChar">
    <w:name w:val="MTDisplayEquation Char"/>
    <w:basedOn w:val="DefaultParagraphFont"/>
    <w:link w:val="MTDisplayEquation"/>
    <w:qFormat/>
    <w:rPr>
      <w:rFonts w:ascii="Times New Roman" w:eastAsia="SimSun" w:hAnsi="Times New Roman"/>
    </w:rPr>
  </w:style>
  <w:style w:type="paragraph" w:customStyle="1" w:styleId="MTDisplayEquation">
    <w:name w:val="MTDisplayEquation"/>
    <w:basedOn w:val="Normal"/>
    <w:next w:val="Normal"/>
    <w:link w:val="MTDisplayEquationChar"/>
    <w:qFormat/>
    <w:pPr>
      <w:tabs>
        <w:tab w:val="center" w:pos="4680"/>
        <w:tab w:val="right" w:pos="9360"/>
      </w:tabs>
    </w:pPr>
    <w:rPr>
      <w:rFonts w:eastAsia="SimSun"/>
      <w:lang w:val="en-US" w:eastAsia="zh-CN"/>
    </w:rPr>
  </w:style>
  <w:style w:type="character" w:customStyle="1" w:styleId="apple-converted-space">
    <w:name w:val="apple-converted-space"/>
    <w:basedOn w:val="DefaultParagraphFont"/>
    <w:qFormat/>
  </w:style>
  <w:style w:type="character" w:customStyle="1" w:styleId="Char">
    <w:name w:val="列出段落 Char"/>
    <w:link w:val="10"/>
    <w:uiPriority w:val="72"/>
    <w:qFormat/>
    <w:rPr>
      <w:rFonts w:ascii="SimSun" w:eastAsia="SimSun" w:hAnsi="SimSun" w:cs="SimSun"/>
      <w:sz w:val="24"/>
      <w:szCs w:val="24"/>
    </w:rPr>
  </w:style>
  <w:style w:type="paragraph" w:customStyle="1" w:styleId="10">
    <w:name w:val="列出段落1"/>
    <w:basedOn w:val="Normal"/>
    <w:link w:val="Char"/>
    <w:uiPriority w:val="72"/>
    <w:qFormat/>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Normal"/>
    <w:qFormat/>
    <w:pPr>
      <w:tabs>
        <w:tab w:val="left" w:pos="420"/>
      </w:tabs>
      <w:ind w:left="420" w:right="-99" w:hanging="420"/>
    </w:pPr>
    <w:rPr>
      <w:rFonts w:eastAsia="MS Mincho"/>
      <w:sz w:val="22"/>
    </w:rPr>
  </w:style>
  <w:style w:type="paragraph" w:customStyle="1" w:styleId="CRCoverPage">
    <w:name w:val="CR Cover Page"/>
    <w:qFormat/>
    <w:pPr>
      <w:spacing w:line="276" w:lineRule="auto"/>
    </w:pPr>
    <w:rPr>
      <w:rFonts w:ascii="Arial" w:eastAsia="MS Mincho" w:hAnsi="Arial"/>
      <w:lang w:eastAsia="en-US"/>
    </w:rPr>
  </w:style>
  <w:style w:type="paragraph" w:customStyle="1" w:styleId="a">
    <w:name w:val="附图正文"/>
    <w:basedOn w:val="Normal"/>
    <w:qFormat/>
    <w:pPr>
      <w:widowControl w:val="0"/>
      <w:overflowPunct/>
      <w:autoSpaceDE/>
      <w:autoSpaceDN/>
      <w:spacing w:after="0"/>
    </w:pPr>
    <w:rPr>
      <w:rFonts w:eastAsia="SimSun"/>
      <w:bCs/>
      <w:snapToGrid w:val="0"/>
      <w:sz w:val="28"/>
      <w:lang w:val="en-US" w:eastAsia="zh-CN"/>
    </w:rPr>
  </w:style>
  <w:style w:type="paragraph" w:customStyle="1" w:styleId="11">
    <w:name w:val="修订1"/>
    <w:uiPriority w:val="99"/>
    <w:semiHidden/>
    <w:qFormat/>
    <w:pPr>
      <w:spacing w:after="200" w:line="276" w:lineRule="auto"/>
    </w:pPr>
    <w:rPr>
      <w:lang w:eastAsia="en-US"/>
    </w:rPr>
  </w:style>
  <w:style w:type="paragraph" w:customStyle="1" w:styleId="EQ">
    <w:name w:val="EQ"/>
    <w:basedOn w:val="Normal"/>
    <w:next w:val="Normal"/>
    <w:qFormat/>
    <w:pPr>
      <w:keepLines/>
      <w:tabs>
        <w:tab w:val="center" w:pos="4536"/>
        <w:tab w:val="right" w:pos="9072"/>
      </w:tabs>
    </w:pPr>
    <w:rPr>
      <w:lang w:val="en-US" w:eastAsia="en-GB"/>
    </w:rPr>
  </w:style>
  <w:style w:type="paragraph" w:customStyle="1" w:styleId="doc-text20">
    <w:name w:val="doc-text2"/>
    <w:basedOn w:val="Normal"/>
    <w:qFormat/>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ListParagraph1">
    <w:name w:val="List Paragraph1"/>
    <w:basedOn w:val="Normal"/>
    <w:uiPriority w:val="34"/>
    <w:qFormat/>
    <w:pPr>
      <w:ind w:left="720"/>
      <w:contextualSpacing/>
    </w:pPr>
  </w:style>
  <w:style w:type="paragraph" w:customStyle="1" w:styleId="CharChar13CharChar">
    <w:name w:val="Char Char13 (文字) (文字) Char Char"/>
    <w:basedOn w:val="Normal"/>
    <w:qFormat/>
    <w:pPr>
      <w:widowControl w:val="0"/>
      <w:overflowPunct/>
      <w:autoSpaceDE/>
      <w:autoSpaceDN/>
      <w:adjustRightInd/>
      <w:spacing w:after="0"/>
      <w:textAlignment w:val="auto"/>
    </w:pPr>
    <w:rPr>
      <w:rFonts w:eastAsia="SimSun"/>
      <w:kern w:val="2"/>
      <w:sz w:val="21"/>
      <w:szCs w:val="24"/>
      <w:lang w:val="en-US" w:eastAsia="zh-CN"/>
    </w:rPr>
  </w:style>
  <w:style w:type="paragraph" w:customStyle="1" w:styleId="StyleNumberedLatinBoldBefore0cmHanging063cm">
    <w:name w:val="Style Numbered (Latin) Bold Before:  0 cm Hanging:  063 cm"/>
    <w:next w:val="List"/>
    <w:qFormat/>
    <w:pPr>
      <w:tabs>
        <w:tab w:val="left" w:pos="360"/>
      </w:tabs>
      <w:spacing w:after="200" w:line="276" w:lineRule="auto"/>
      <w:ind w:left="360" w:hanging="360"/>
    </w:pPr>
    <w:rPr>
      <w:rFonts w:eastAsia="MS Mincho"/>
      <w:lang w:eastAsia="en-US"/>
    </w:rPr>
  </w:style>
  <w:style w:type="paragraph" w:customStyle="1" w:styleId="Observation">
    <w:name w:val="Observation"/>
    <w:basedOn w:val="Normal"/>
    <w:qFormat/>
    <w:pPr>
      <w:tabs>
        <w:tab w:val="left" w:pos="1701"/>
      </w:tabs>
      <w:ind w:left="360" w:hanging="360"/>
    </w:pPr>
    <w:rPr>
      <w:rFonts w:ascii="Arial" w:eastAsia="SimSun" w:hAnsi="Arial"/>
      <w:b/>
      <w:bCs/>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eastAsia="en-US"/>
    </w:rPr>
  </w:style>
  <w:style w:type="paragraph" w:customStyle="1" w:styleId="ACTION">
    <w:name w:val="ACTION"/>
    <w:basedOn w:val="Normal"/>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Normal"/>
    <w:uiPriority w:val="72"/>
    <w:qFormat/>
    <w:pPr>
      <w:overflowPunct/>
      <w:autoSpaceDE/>
      <w:autoSpaceDN/>
      <w:adjustRightInd/>
      <w:spacing w:after="0"/>
      <w:ind w:firstLineChars="200" w:firstLine="420"/>
      <w:textAlignment w:val="auto"/>
    </w:pPr>
    <w:rPr>
      <w:rFonts w:ascii="SimSun" w:eastAsia="SimSun" w:hAnsi="SimSun"/>
      <w:sz w:val="24"/>
      <w:szCs w:val="24"/>
    </w:rPr>
  </w:style>
  <w:style w:type="character" w:customStyle="1" w:styleId="BodyTextChar">
    <w:name w:val="Body Text Char"/>
    <w:basedOn w:val="DefaultParagraphFont"/>
    <w:link w:val="BodyText"/>
    <w:qFormat/>
    <w:rPr>
      <w:rFonts w:eastAsia="MS Mincho"/>
      <w:lang w:val="en-GB" w:eastAsia="en-US"/>
    </w:rPr>
  </w:style>
  <w:style w:type="paragraph" w:customStyle="1" w:styleId="ListParagraph2">
    <w:name w:val="List Paragraph2"/>
    <w:basedOn w:val="Normal"/>
    <w:uiPriority w:val="99"/>
    <w:qFormat/>
    <w:pPr>
      <w:ind w:firstLineChars="200" w:firstLine="420"/>
    </w:pPr>
  </w:style>
  <w:style w:type="paragraph" w:customStyle="1" w:styleId="2">
    <w:name w:val="列出段落2"/>
    <w:basedOn w:val="Normal"/>
    <w:uiPriority w:val="99"/>
    <w:unhideWhenUsed/>
    <w:qFormat/>
    <w:pPr>
      <w:ind w:left="720"/>
      <w:contextualSpacing/>
    </w:pPr>
  </w:style>
  <w:style w:type="paragraph" w:customStyle="1" w:styleId="3">
    <w:name w:val="列出段落3"/>
    <w:basedOn w:val="Normal"/>
    <w:uiPriority w:val="99"/>
    <w:qFormat/>
    <w:pPr>
      <w:ind w:firstLineChars="200" w:firstLine="420"/>
    </w:pPr>
  </w:style>
  <w:style w:type="paragraph" w:customStyle="1" w:styleId="4">
    <w:name w:val="列出段落4"/>
    <w:basedOn w:val="Normal"/>
    <w:uiPriority w:val="34"/>
    <w:qFormat/>
    <w:pPr>
      <w:ind w:firstLineChars="200" w:firstLine="420"/>
    </w:pPr>
  </w:style>
  <w:style w:type="paragraph" w:customStyle="1" w:styleId="5">
    <w:name w:val="列出段落5"/>
    <w:basedOn w:val="Normal"/>
    <w:uiPriority w:val="99"/>
    <w:qFormat/>
    <w:pPr>
      <w:ind w:firstLineChars="200" w:firstLine="420"/>
    </w:pPr>
  </w:style>
  <w:style w:type="paragraph" w:customStyle="1" w:styleId="References">
    <w:name w:val="References"/>
    <w:basedOn w:val="Normal"/>
    <w:qFormat/>
    <w:pPr>
      <w:numPr>
        <w:numId w:val="2"/>
      </w:numPr>
      <w:overflowPunct/>
      <w:adjustRightInd/>
      <w:spacing w:after="60"/>
      <w:textAlignment w:val="auto"/>
    </w:pPr>
    <w:rPr>
      <w:rFonts w:eastAsia="SimSun"/>
      <w:szCs w:val="16"/>
      <w:lang w:val="en-US"/>
    </w:rPr>
  </w:style>
  <w:style w:type="paragraph" w:customStyle="1" w:styleId="ListParagraph3">
    <w:name w:val="List Paragraph3"/>
    <w:basedOn w:val="Normal"/>
    <w:uiPriority w:val="34"/>
    <w:qFormat/>
    <w:pPr>
      <w:ind w:leftChars="400" w:left="840"/>
    </w:pPr>
  </w:style>
  <w:style w:type="paragraph" w:customStyle="1" w:styleId="ListParagraph31">
    <w:name w:val="List Paragraph31"/>
    <w:basedOn w:val="Normal"/>
    <w:qFormat/>
    <w:pPr>
      <w:overflowPunct/>
      <w:autoSpaceDE/>
      <w:autoSpaceDN/>
      <w:adjustRightInd/>
      <w:spacing w:before="100" w:beforeAutospacing="1"/>
      <w:ind w:left="720"/>
      <w:contextualSpacing/>
      <w:jc w:val="left"/>
      <w:textAlignment w:val="auto"/>
    </w:pPr>
    <w:rPr>
      <w:rFonts w:eastAsia="SimSun"/>
      <w:sz w:val="24"/>
      <w:szCs w:val="24"/>
      <w:lang w:val="en-US" w:eastAsia="zh-CN"/>
    </w:rPr>
  </w:style>
  <w:style w:type="paragraph" w:styleId="ListParagraph">
    <w:name w:val="List Paragraph"/>
    <w:basedOn w:val="Normal"/>
    <w:uiPriority w:val="34"/>
    <w:qFormat/>
    <w:pPr>
      <w:ind w:leftChars="400" w:left="840"/>
    </w:pPr>
  </w:style>
  <w:style w:type="character" w:styleId="PlaceholderText">
    <w:name w:val="Placeholder Text"/>
    <w:uiPriority w:val="99"/>
    <w:semiHidden/>
    <w:qFormat/>
    <w:rPr>
      <w:color w:val="808080"/>
    </w:rPr>
  </w:style>
  <w:style w:type="character" w:customStyle="1" w:styleId="ZGSM">
    <w:name w:val="ZGSM"/>
    <w:qFormat/>
  </w:style>
  <w:style w:type="paragraph" w:styleId="Revision">
    <w:name w:val="Revision"/>
    <w:hidden/>
    <w:uiPriority w:val="99"/>
    <w:semiHidden/>
    <w:rsid w:val="002C5BE7"/>
    <w:pPr>
      <w:spacing w:after="0" w:line="240" w:lineRule="auto"/>
    </w:pPr>
    <w:rPr>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QvMe2H9wLCay3F22OJFybYinSEQ==">AMUW2mW7KEeWC0MXrUICjiTi2PtWaTUALRh1sTuUJUpsCtu13RtvdK2VwR4YF5aPMh/GE2bTccgytL41OqBLLleR34C5ZeHHrsG7YQhPiq+DzV1jo3otnBZNuyFtyotQJXz9I5+HbuZ+</go:docsCustomData>
</go:gDocsCustomXmlDataStorage>
</file>

<file path=customXml/itemProps1.xml><?xml version="1.0" encoding="utf-8"?>
<ds:datastoreItem xmlns:ds="http://schemas.openxmlformats.org/officeDocument/2006/customXml" ds:itemID="{7CB31B4F-76FF-4EEB-A160-A1AD6ADA4C9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4</Pages>
  <Words>1425</Words>
  <Characters>8125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Jiwoo Kim</cp:lastModifiedBy>
  <cp:revision>10</cp:revision>
  <dcterms:created xsi:type="dcterms:W3CDTF">2022-03-09T09:35:00Z</dcterms:created>
  <dcterms:modified xsi:type="dcterms:W3CDTF">2022-05-30T18:31:00Z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2052-11.8.2.9022</vt:lpwstr>
  </property>
</Properties>
</file>